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C7BDC2" w14:textId="77777777" w:rsidR="00AD09DB" w:rsidRDefault="00AD09DB" w:rsidP="00D9548A">
      <w:pPr>
        <w:pStyle w:val="Date"/>
        <w:tabs>
          <w:tab w:val="left" w:pos="5268"/>
        </w:tabs>
        <w:rPr>
          <w:rFonts w:asciiTheme="minorHAnsi" w:hAnsiTheme="minorHAnsi" w:cstheme="minorHAnsi"/>
          <w:sz w:val="22"/>
          <w:szCs w:val="22"/>
        </w:rPr>
      </w:pPr>
      <w:bookmarkStart w:id="0" w:name="Date"/>
      <w:r>
        <w:rPr>
          <w:rFonts w:asciiTheme="minorHAnsi" w:hAnsiTheme="minorHAnsi" w:cstheme="minorHAnsi"/>
          <w:sz w:val="22"/>
          <w:szCs w:val="22"/>
        </w:rPr>
        <w:t>Appendix B</w:t>
      </w:r>
    </w:p>
    <w:p w14:paraId="5C43DF9E" w14:textId="654E3D69" w:rsidR="00977481" w:rsidRPr="009C7287" w:rsidRDefault="00AD09DB" w:rsidP="00D9548A">
      <w:pPr>
        <w:pStyle w:val="Date"/>
        <w:tabs>
          <w:tab w:val="left" w:pos="5268"/>
        </w:tabs>
        <w:rPr>
          <w:rFonts w:asciiTheme="minorHAnsi" w:hAnsiTheme="minorHAnsi" w:cstheme="minorHAnsi"/>
          <w:sz w:val="22"/>
          <w:szCs w:val="22"/>
        </w:rPr>
      </w:pPr>
      <w:r>
        <w:rPr>
          <w:rFonts w:asciiTheme="minorHAnsi" w:hAnsiTheme="minorHAnsi" w:cstheme="minorHAnsi"/>
          <w:sz w:val="22"/>
          <w:szCs w:val="22"/>
        </w:rPr>
        <w:t xml:space="preserve">Revised Responses to WisDOT Comments on original letter work plan proposal </w:t>
      </w:r>
      <w:r w:rsidR="00D9548A" w:rsidRPr="009C7287">
        <w:rPr>
          <w:rFonts w:asciiTheme="minorHAnsi" w:hAnsiTheme="minorHAnsi" w:cstheme="minorHAnsi"/>
          <w:sz w:val="22"/>
          <w:szCs w:val="22"/>
        </w:rPr>
        <w:tab/>
      </w:r>
    </w:p>
    <w:bookmarkEnd w:id="0"/>
    <w:p w14:paraId="6756856D" w14:textId="77777777" w:rsidR="001C3A07" w:rsidRPr="009C7287" w:rsidRDefault="00216FEE" w:rsidP="00216FEE">
      <w:pPr>
        <w:numPr>
          <w:ilvl w:val="0"/>
          <w:numId w:val="19"/>
        </w:numPr>
        <w:spacing w:after="0"/>
        <w:rPr>
          <w:rFonts w:asciiTheme="minorHAnsi" w:eastAsia="Times New Roman" w:hAnsiTheme="minorHAnsi" w:cstheme="minorHAnsi"/>
          <w:sz w:val="22"/>
          <w:szCs w:val="22"/>
        </w:rPr>
      </w:pPr>
      <w:r w:rsidRPr="009C7287">
        <w:rPr>
          <w:rFonts w:asciiTheme="minorHAnsi" w:eastAsia="Times New Roman" w:hAnsiTheme="minorHAnsi" w:cstheme="minorHAnsi"/>
          <w:sz w:val="22"/>
          <w:szCs w:val="22"/>
        </w:rPr>
        <w:t xml:space="preserve">Overall, more answers are needed before a comfort level can be established.  This seems to be a proposal of work, not a plan this needed. </w:t>
      </w:r>
    </w:p>
    <w:p w14:paraId="45679F00" w14:textId="03F550AC" w:rsidR="00216FEE" w:rsidRPr="009C7287" w:rsidRDefault="00216FEE" w:rsidP="001C3A07">
      <w:pPr>
        <w:numPr>
          <w:ilvl w:val="1"/>
          <w:numId w:val="19"/>
        </w:numPr>
        <w:spacing w:after="0"/>
        <w:rPr>
          <w:rFonts w:asciiTheme="minorHAnsi" w:eastAsiaTheme="minorHAnsi" w:hAnsiTheme="minorHAnsi" w:cstheme="minorHAnsi"/>
          <w:i/>
          <w:color w:val="005A96" w:themeColor="accent1"/>
          <w:sz w:val="22"/>
          <w:szCs w:val="22"/>
        </w:rPr>
      </w:pPr>
      <w:r w:rsidRPr="009C7287">
        <w:rPr>
          <w:rFonts w:asciiTheme="minorHAnsi" w:eastAsiaTheme="minorHAnsi" w:hAnsiTheme="minorHAnsi" w:cstheme="minorHAnsi"/>
          <w:i/>
          <w:color w:val="005A96" w:themeColor="accent1"/>
          <w:sz w:val="22"/>
          <w:szCs w:val="22"/>
        </w:rPr>
        <w:t xml:space="preserve">The proposal is our work plan, but we are happy to provide </w:t>
      </w:r>
      <w:r w:rsidR="00783158">
        <w:rPr>
          <w:rFonts w:asciiTheme="minorHAnsi" w:eastAsiaTheme="minorHAnsi" w:hAnsiTheme="minorHAnsi" w:cstheme="minorHAnsi"/>
          <w:i/>
          <w:color w:val="005A96" w:themeColor="accent1"/>
          <w:sz w:val="22"/>
          <w:szCs w:val="22"/>
        </w:rPr>
        <w:t xml:space="preserve">this </w:t>
      </w:r>
      <w:r w:rsidRPr="009C7287">
        <w:rPr>
          <w:rFonts w:asciiTheme="minorHAnsi" w:eastAsiaTheme="minorHAnsi" w:hAnsiTheme="minorHAnsi" w:cstheme="minorHAnsi"/>
          <w:i/>
          <w:color w:val="005A96" w:themeColor="accent1"/>
          <w:sz w:val="22"/>
          <w:szCs w:val="22"/>
        </w:rPr>
        <w:t>more detail</w:t>
      </w:r>
      <w:r w:rsidR="00783158">
        <w:rPr>
          <w:rFonts w:asciiTheme="minorHAnsi" w:eastAsiaTheme="minorHAnsi" w:hAnsiTheme="minorHAnsi" w:cstheme="minorHAnsi"/>
          <w:i/>
          <w:color w:val="005A96" w:themeColor="accent1"/>
          <w:sz w:val="22"/>
          <w:szCs w:val="22"/>
        </w:rPr>
        <w:t xml:space="preserve">ed formatted work plan address the </w:t>
      </w:r>
      <w:r w:rsidR="00783158" w:rsidRPr="009C7287">
        <w:rPr>
          <w:rFonts w:asciiTheme="minorHAnsi" w:eastAsiaTheme="minorHAnsi" w:hAnsiTheme="minorHAnsi" w:cstheme="minorHAnsi"/>
          <w:i/>
          <w:color w:val="005A96" w:themeColor="accent1"/>
          <w:sz w:val="22"/>
          <w:szCs w:val="22"/>
        </w:rPr>
        <w:t>additional information</w:t>
      </w:r>
      <w:r w:rsidR="00783158" w:rsidRPr="009C7287">
        <w:rPr>
          <w:rFonts w:asciiTheme="minorHAnsi" w:eastAsiaTheme="minorHAnsi" w:hAnsiTheme="minorHAnsi" w:cstheme="minorHAnsi"/>
          <w:i/>
          <w:color w:val="005A96" w:themeColor="accent1"/>
          <w:sz w:val="22"/>
          <w:szCs w:val="22"/>
        </w:rPr>
        <w:t xml:space="preserve"> </w:t>
      </w:r>
      <w:r w:rsidRPr="009C7287">
        <w:rPr>
          <w:rFonts w:asciiTheme="minorHAnsi" w:eastAsiaTheme="minorHAnsi" w:hAnsiTheme="minorHAnsi" w:cstheme="minorHAnsi"/>
          <w:i/>
          <w:color w:val="005A96" w:themeColor="accent1"/>
          <w:sz w:val="22"/>
          <w:szCs w:val="22"/>
        </w:rPr>
        <w:t xml:space="preserve">WisDOT </w:t>
      </w:r>
      <w:r w:rsidR="00783158">
        <w:rPr>
          <w:rFonts w:asciiTheme="minorHAnsi" w:eastAsiaTheme="minorHAnsi" w:hAnsiTheme="minorHAnsi" w:cstheme="minorHAnsi"/>
          <w:i/>
          <w:color w:val="005A96" w:themeColor="accent1"/>
          <w:sz w:val="22"/>
          <w:szCs w:val="22"/>
        </w:rPr>
        <w:t>requested.</w:t>
      </w:r>
    </w:p>
    <w:p w14:paraId="18CD8913" w14:textId="77777777" w:rsidR="005F03D6" w:rsidRPr="009C7287" w:rsidRDefault="00216FEE" w:rsidP="00216FEE">
      <w:pPr>
        <w:numPr>
          <w:ilvl w:val="0"/>
          <w:numId w:val="19"/>
        </w:numPr>
        <w:spacing w:after="0"/>
        <w:rPr>
          <w:rFonts w:asciiTheme="minorHAnsi" w:eastAsia="Times New Roman" w:hAnsiTheme="minorHAnsi" w:cstheme="minorHAnsi"/>
          <w:sz w:val="22"/>
          <w:szCs w:val="22"/>
        </w:rPr>
      </w:pPr>
      <w:r w:rsidRPr="009C7287">
        <w:rPr>
          <w:rFonts w:asciiTheme="minorHAnsi" w:eastAsia="Times New Roman" w:hAnsiTheme="minorHAnsi" w:cstheme="minorHAnsi"/>
          <w:sz w:val="22"/>
          <w:szCs w:val="22"/>
        </w:rPr>
        <w:t>Figure 3 is missing several Subsidence Feature Locations as compared to WisDOT documentation.  Plan discuss five reported subsidence areas, but the provided Figure 3 indicates six location</w:t>
      </w:r>
      <w:r w:rsidR="005F03D6" w:rsidRPr="009C7287">
        <w:rPr>
          <w:rFonts w:asciiTheme="minorHAnsi" w:eastAsia="Times New Roman" w:hAnsiTheme="minorHAnsi" w:cstheme="minorHAnsi"/>
          <w:sz w:val="22"/>
          <w:szCs w:val="22"/>
        </w:rPr>
        <w:t>s.  This needs to be clarified.</w:t>
      </w:r>
    </w:p>
    <w:p w14:paraId="334B8DC8" w14:textId="15AAF598" w:rsidR="00216FEE" w:rsidRPr="009C7287" w:rsidRDefault="00617425" w:rsidP="005F03D6">
      <w:pPr>
        <w:numPr>
          <w:ilvl w:val="1"/>
          <w:numId w:val="19"/>
        </w:numPr>
        <w:spacing w:after="0"/>
        <w:rPr>
          <w:rFonts w:asciiTheme="minorHAnsi" w:eastAsiaTheme="minorHAnsi" w:hAnsiTheme="minorHAnsi" w:cstheme="minorHAnsi"/>
          <w:i/>
          <w:color w:val="005A96" w:themeColor="accent1"/>
          <w:sz w:val="22"/>
          <w:szCs w:val="22"/>
        </w:rPr>
      </w:pPr>
      <w:r>
        <w:rPr>
          <w:rFonts w:asciiTheme="minorHAnsi" w:eastAsiaTheme="minorHAnsi" w:hAnsiTheme="minorHAnsi" w:cstheme="minorHAnsi"/>
          <w:i/>
          <w:color w:val="005A96" w:themeColor="accent1"/>
          <w:sz w:val="22"/>
          <w:szCs w:val="22"/>
        </w:rPr>
        <w:t xml:space="preserve">{Figures 3-5} </w:t>
      </w:r>
      <w:r w:rsidR="00216FEE" w:rsidRPr="009C7287">
        <w:rPr>
          <w:rFonts w:asciiTheme="minorHAnsi" w:eastAsiaTheme="minorHAnsi" w:hAnsiTheme="minorHAnsi" w:cstheme="minorHAnsi"/>
          <w:i/>
          <w:color w:val="005A96" w:themeColor="accent1"/>
          <w:sz w:val="22"/>
          <w:szCs w:val="22"/>
        </w:rPr>
        <w:t>We hereby amend the plan to include 6 locations shown on Figure 3. Our plan is to address all known subsidence features</w:t>
      </w:r>
      <w:r w:rsidR="005F03D6" w:rsidRPr="009C7287">
        <w:rPr>
          <w:rFonts w:asciiTheme="minorHAnsi" w:eastAsiaTheme="minorHAnsi" w:hAnsiTheme="minorHAnsi" w:cstheme="minorHAnsi"/>
          <w:i/>
          <w:color w:val="005A96" w:themeColor="accent1"/>
          <w:sz w:val="22"/>
          <w:szCs w:val="22"/>
        </w:rPr>
        <w:t xml:space="preserve"> and complete a geophysical investigation to discover and remediate any additional subsurface areas of concern within the project footprint</w:t>
      </w:r>
      <w:r w:rsidR="00216FEE" w:rsidRPr="009C7287">
        <w:rPr>
          <w:rFonts w:asciiTheme="minorHAnsi" w:eastAsiaTheme="minorHAnsi" w:hAnsiTheme="minorHAnsi" w:cstheme="minorHAnsi"/>
          <w:i/>
          <w:color w:val="005A96" w:themeColor="accent1"/>
          <w:sz w:val="22"/>
          <w:szCs w:val="22"/>
        </w:rPr>
        <w:t xml:space="preserve">.  </w:t>
      </w:r>
      <w:r w:rsidR="00783158">
        <w:rPr>
          <w:rFonts w:asciiTheme="minorHAnsi" w:eastAsiaTheme="minorHAnsi" w:hAnsiTheme="minorHAnsi" w:cstheme="minorHAnsi"/>
          <w:i/>
          <w:color w:val="005A96" w:themeColor="accent1"/>
          <w:sz w:val="22"/>
          <w:szCs w:val="22"/>
        </w:rPr>
        <w:t>If there are other features we are not aware of please note them on the map and they will be incorporated into the scope of work.</w:t>
      </w:r>
    </w:p>
    <w:p w14:paraId="748AEFC5" w14:textId="253C74EE" w:rsidR="00216FEE" w:rsidRPr="009C7287" w:rsidRDefault="00216FEE" w:rsidP="00216FEE">
      <w:pPr>
        <w:pStyle w:val="ListParagraph"/>
        <w:numPr>
          <w:ilvl w:val="0"/>
          <w:numId w:val="19"/>
        </w:numPr>
        <w:rPr>
          <w:rFonts w:eastAsia="Times New Roman" w:cstheme="minorHAnsi"/>
        </w:rPr>
      </w:pPr>
      <w:r w:rsidRPr="009C7287">
        <w:rPr>
          <w:rFonts w:eastAsia="Times New Roman" w:cstheme="minorHAnsi"/>
        </w:rPr>
        <w:t>There are several areas of the provided plan that need further explanation and discussion</w:t>
      </w:r>
    </w:p>
    <w:p w14:paraId="1B5EA2D5" w14:textId="5DC19998" w:rsidR="005F03D6" w:rsidRPr="009C7287" w:rsidRDefault="005F03D6" w:rsidP="005F03D6">
      <w:pPr>
        <w:pStyle w:val="ListParagraph"/>
        <w:numPr>
          <w:ilvl w:val="1"/>
          <w:numId w:val="19"/>
        </w:numPr>
        <w:rPr>
          <w:rFonts w:cstheme="minorHAnsi"/>
          <w:i/>
          <w:color w:val="005A96" w:themeColor="accent1"/>
        </w:rPr>
      </w:pPr>
      <w:r w:rsidRPr="009C7287">
        <w:rPr>
          <w:rFonts w:cstheme="minorHAnsi"/>
          <w:i/>
          <w:color w:val="005A96" w:themeColor="accent1"/>
        </w:rPr>
        <w:t>We assume that this comment refers to the following content below.</w:t>
      </w:r>
    </w:p>
    <w:p w14:paraId="78D7AAAD" w14:textId="77777777" w:rsidR="009C7287" w:rsidRPr="009C7287" w:rsidRDefault="00216FEE" w:rsidP="00216FEE">
      <w:pPr>
        <w:pStyle w:val="ListParagraph"/>
        <w:numPr>
          <w:ilvl w:val="0"/>
          <w:numId w:val="19"/>
        </w:numPr>
        <w:rPr>
          <w:rFonts w:cstheme="minorHAnsi"/>
          <w:i/>
        </w:rPr>
      </w:pPr>
      <w:r w:rsidRPr="009C7287">
        <w:rPr>
          <w:rFonts w:cstheme="minorHAnsi"/>
        </w:rPr>
        <w:t xml:space="preserve">Is the overburden mitigation supposed to happen before joints are fixed? </w:t>
      </w:r>
    </w:p>
    <w:p w14:paraId="2B794B0B" w14:textId="6B9353EB" w:rsidR="00216FEE" w:rsidRPr="009C7287" w:rsidRDefault="00617425" w:rsidP="009C7287">
      <w:pPr>
        <w:pStyle w:val="ListParagraph"/>
        <w:numPr>
          <w:ilvl w:val="1"/>
          <w:numId w:val="19"/>
        </w:numPr>
        <w:rPr>
          <w:rFonts w:cstheme="minorHAnsi"/>
          <w:i/>
          <w:color w:val="005A96" w:themeColor="accent1"/>
        </w:rPr>
      </w:pPr>
      <w:r>
        <w:rPr>
          <w:rFonts w:cstheme="minorHAnsi"/>
          <w:i/>
          <w:color w:val="005A96" w:themeColor="accent1"/>
        </w:rPr>
        <w:t>{Section 4</w:t>
      </w:r>
      <w:r w:rsidR="00783715">
        <w:rPr>
          <w:rFonts w:cstheme="minorHAnsi"/>
          <w:i/>
          <w:color w:val="005A96" w:themeColor="accent1"/>
        </w:rPr>
        <w:t xml:space="preserve"> &amp; Section 5</w:t>
      </w:r>
      <w:r w:rsidR="00BA5142">
        <w:rPr>
          <w:rFonts w:cstheme="minorHAnsi"/>
          <w:i/>
          <w:color w:val="005A96" w:themeColor="accent1"/>
        </w:rPr>
        <w:t>,</w:t>
      </w:r>
      <w:r w:rsidR="00783715">
        <w:rPr>
          <w:rFonts w:cstheme="minorHAnsi"/>
          <w:i/>
          <w:color w:val="005A96" w:themeColor="accent1"/>
        </w:rPr>
        <w:t xml:space="preserve"> assumption 5</w:t>
      </w:r>
      <w:r>
        <w:rPr>
          <w:rFonts w:cstheme="minorHAnsi"/>
          <w:i/>
          <w:color w:val="005A96" w:themeColor="accent1"/>
        </w:rPr>
        <w:t xml:space="preserve">} </w:t>
      </w:r>
      <w:r w:rsidR="00216FEE" w:rsidRPr="009C7287">
        <w:rPr>
          <w:rFonts w:cstheme="minorHAnsi"/>
          <w:i/>
          <w:color w:val="005A96" w:themeColor="accent1"/>
        </w:rPr>
        <w:t>No. It is not necessary to conduct mitigation before the joint repairs occur.  Backfill mitigation will likely occur in conjunction with joint sealing.</w:t>
      </w:r>
    </w:p>
    <w:p w14:paraId="12C71727" w14:textId="77777777" w:rsidR="009C7287" w:rsidRPr="009C7287" w:rsidRDefault="00216FEE" w:rsidP="00216FEE">
      <w:pPr>
        <w:pStyle w:val="ListParagraph"/>
        <w:numPr>
          <w:ilvl w:val="0"/>
          <w:numId w:val="19"/>
        </w:numPr>
        <w:rPr>
          <w:rFonts w:cstheme="minorHAnsi"/>
        </w:rPr>
      </w:pPr>
      <w:r w:rsidRPr="009C7287">
        <w:rPr>
          <w:rFonts w:cstheme="minorHAnsi"/>
        </w:rPr>
        <w:t>Frozen ground?  How does this affect what is being proposed</w:t>
      </w:r>
      <w:r w:rsidRPr="009C7287">
        <w:rPr>
          <w:rFonts w:cstheme="minorHAnsi"/>
          <w:i/>
        </w:rPr>
        <w:t xml:space="preserve">?  </w:t>
      </w:r>
    </w:p>
    <w:p w14:paraId="636A0AFE" w14:textId="14F90CA8" w:rsidR="009C7287" w:rsidRPr="00783715" w:rsidRDefault="00783715" w:rsidP="009C7287">
      <w:pPr>
        <w:pStyle w:val="ListParagraph"/>
        <w:numPr>
          <w:ilvl w:val="1"/>
          <w:numId w:val="19"/>
        </w:numPr>
        <w:rPr>
          <w:rFonts w:cstheme="minorHAnsi"/>
          <w:color w:val="005A96" w:themeColor="accent1"/>
        </w:rPr>
      </w:pPr>
      <w:r>
        <w:rPr>
          <w:rFonts w:cstheme="minorHAnsi"/>
          <w:i/>
          <w:color w:val="005A96" w:themeColor="accent1"/>
        </w:rPr>
        <w:t xml:space="preserve">{Section 5, Assumption 7} </w:t>
      </w:r>
      <w:r w:rsidR="00216FEE" w:rsidRPr="009C7287">
        <w:rPr>
          <w:rFonts w:cstheme="minorHAnsi"/>
          <w:i/>
          <w:color w:val="005A96" w:themeColor="accent1"/>
        </w:rPr>
        <w:t xml:space="preserve">Significant frost depths may favor use of an auger drill rig equipment rather than a Geoprobe to place grout for mitigation. </w:t>
      </w:r>
      <w:r w:rsidR="009C7287" w:rsidRPr="009C7287">
        <w:rPr>
          <w:rFonts w:cstheme="minorHAnsi"/>
          <w:i/>
          <w:color w:val="005A96" w:themeColor="accent1"/>
        </w:rPr>
        <w:t xml:space="preserve">The MASW </w:t>
      </w:r>
      <w:r w:rsidR="009C7287" w:rsidRPr="00597B2E">
        <w:rPr>
          <w:rFonts w:cstheme="minorHAnsi"/>
          <w:i/>
          <w:color w:val="005A96" w:themeColor="accent1"/>
        </w:rPr>
        <w:t xml:space="preserve">geophysical investigation </w:t>
      </w:r>
      <w:r w:rsidR="00D54B6B" w:rsidRPr="00597B2E">
        <w:rPr>
          <w:rFonts w:cstheme="minorHAnsi"/>
          <w:i/>
          <w:color w:val="005A96" w:themeColor="accent1"/>
        </w:rPr>
        <w:t>can be conducted over</w:t>
      </w:r>
      <w:r w:rsidR="009C7287" w:rsidRPr="00597B2E">
        <w:rPr>
          <w:rFonts w:cstheme="minorHAnsi"/>
          <w:i/>
          <w:color w:val="005A96" w:themeColor="accent1"/>
        </w:rPr>
        <w:t xml:space="preserve"> frozen ground.  </w:t>
      </w:r>
      <w:r w:rsidR="00783158">
        <w:rPr>
          <w:rFonts w:cstheme="minorHAnsi"/>
          <w:i/>
          <w:color w:val="005A96" w:themeColor="accent1"/>
        </w:rPr>
        <w:t>We have been told that the road surface above the subsidence features has been excavated and recompacted.  Therefore, t</w:t>
      </w:r>
      <w:r w:rsidR="00D54B6B" w:rsidRPr="00597B2E">
        <w:rPr>
          <w:rFonts w:cstheme="minorHAnsi"/>
          <w:i/>
          <w:color w:val="005A96" w:themeColor="accent1"/>
        </w:rPr>
        <w:t>he important stiffness</w:t>
      </w:r>
      <w:r w:rsidR="009C7287" w:rsidRPr="00597B2E">
        <w:rPr>
          <w:rFonts w:cstheme="minorHAnsi"/>
          <w:i/>
          <w:color w:val="005A96" w:themeColor="accent1"/>
        </w:rPr>
        <w:t xml:space="preserve"> anomalies </w:t>
      </w:r>
      <w:r w:rsidR="00D54B6B" w:rsidRPr="00597B2E">
        <w:rPr>
          <w:rFonts w:cstheme="minorHAnsi"/>
          <w:i/>
          <w:color w:val="005A96" w:themeColor="accent1"/>
        </w:rPr>
        <w:t>should be below the frost penetration.</w:t>
      </w:r>
      <w:r w:rsidR="00216FEE" w:rsidRPr="00597B2E">
        <w:rPr>
          <w:rFonts w:cstheme="minorHAnsi"/>
          <w:i/>
          <w:color w:val="005A96" w:themeColor="accent1"/>
        </w:rPr>
        <w:t xml:space="preserve"> </w:t>
      </w:r>
      <w:r w:rsidR="00783158">
        <w:rPr>
          <w:rFonts w:cstheme="minorHAnsi"/>
          <w:i/>
          <w:color w:val="005A96" w:themeColor="accent1"/>
        </w:rPr>
        <w:t xml:space="preserve">Frost will change strength but the </w:t>
      </w:r>
      <w:r w:rsidR="00AD09DB">
        <w:rPr>
          <w:rFonts w:cstheme="minorHAnsi"/>
          <w:i/>
          <w:color w:val="005A96" w:themeColor="accent1"/>
        </w:rPr>
        <w:t>i</w:t>
      </w:r>
      <w:r w:rsidR="00AD09DB" w:rsidRPr="00597B2E">
        <w:rPr>
          <w:rFonts w:cstheme="minorHAnsi"/>
          <w:i/>
          <w:color w:val="005A96" w:themeColor="accent1"/>
        </w:rPr>
        <w:t>mportant</w:t>
      </w:r>
      <w:r w:rsidR="0069234C" w:rsidRPr="00597B2E">
        <w:rPr>
          <w:rFonts w:cstheme="minorHAnsi"/>
          <w:i/>
          <w:color w:val="005A96" w:themeColor="accent1"/>
        </w:rPr>
        <w:t xml:space="preserve"> layers </w:t>
      </w:r>
      <w:r w:rsidR="0069234C" w:rsidRPr="00597B2E">
        <w:rPr>
          <w:rFonts w:cstheme="minorHAnsi"/>
          <w:i/>
          <w:color w:val="005A96" w:themeColor="accent1"/>
        </w:rPr>
        <w:lastRenderedPageBreak/>
        <w:t xml:space="preserve">should be frost free for accurate stiffness analysis. </w:t>
      </w:r>
      <w:r w:rsidR="00216FEE" w:rsidRPr="00597B2E">
        <w:rPr>
          <w:rFonts w:cstheme="minorHAnsi"/>
          <w:i/>
          <w:color w:val="005A96" w:themeColor="accent1"/>
        </w:rPr>
        <w:t xml:space="preserve"> </w:t>
      </w:r>
      <w:r w:rsidR="00BB3BBC" w:rsidRPr="00597B2E">
        <w:rPr>
          <w:rFonts w:cstheme="minorHAnsi"/>
          <w:i/>
          <w:color w:val="005A96" w:themeColor="accent1"/>
        </w:rPr>
        <w:t xml:space="preserve">To the extent that frozen soils exhibit a need to be mitigated, that work </w:t>
      </w:r>
      <w:r w:rsidR="00216FEE" w:rsidRPr="00597B2E">
        <w:rPr>
          <w:rFonts w:cstheme="minorHAnsi"/>
          <w:i/>
          <w:color w:val="005A96" w:themeColor="accent1"/>
        </w:rPr>
        <w:t xml:space="preserve">would happen when frost </w:t>
      </w:r>
      <w:r w:rsidR="009C7287" w:rsidRPr="00597B2E">
        <w:rPr>
          <w:rFonts w:cstheme="minorHAnsi"/>
          <w:i/>
          <w:color w:val="005A96" w:themeColor="accent1"/>
        </w:rPr>
        <w:t>conditions do not exist</w:t>
      </w:r>
      <w:r>
        <w:rPr>
          <w:rFonts w:cstheme="minorHAnsi"/>
          <w:i/>
          <w:color w:val="005A96" w:themeColor="accent1"/>
        </w:rPr>
        <w:t xml:space="preserve">. </w:t>
      </w:r>
    </w:p>
    <w:p w14:paraId="437C7141" w14:textId="2C117696" w:rsidR="009C7287" w:rsidRPr="009C7287" w:rsidRDefault="00216FEE" w:rsidP="00216FEE">
      <w:pPr>
        <w:pStyle w:val="ListParagraph"/>
        <w:numPr>
          <w:ilvl w:val="0"/>
          <w:numId w:val="19"/>
        </w:numPr>
        <w:rPr>
          <w:rFonts w:cstheme="minorHAnsi"/>
          <w:i/>
        </w:rPr>
      </w:pPr>
      <w:r w:rsidRPr="009C7287">
        <w:rPr>
          <w:rFonts w:cstheme="minorHAnsi"/>
        </w:rPr>
        <w:t xml:space="preserve">Will the 500 </w:t>
      </w:r>
      <w:r w:rsidR="00374BDA" w:rsidRPr="009C7287">
        <w:rPr>
          <w:rFonts w:cstheme="minorHAnsi"/>
        </w:rPr>
        <w:t>lb.</w:t>
      </w:r>
      <w:r w:rsidRPr="009C7287">
        <w:rPr>
          <w:rFonts w:cstheme="minorHAnsi"/>
        </w:rPr>
        <w:t xml:space="preserve"> hammer ruin the temporary asphalt driveway for the residents?</w:t>
      </w:r>
    </w:p>
    <w:p w14:paraId="3A6183DB" w14:textId="585DE9DE" w:rsidR="00216FEE" w:rsidRPr="009C7287" w:rsidRDefault="00216FEE" w:rsidP="009C7287">
      <w:pPr>
        <w:pStyle w:val="ListParagraph"/>
        <w:numPr>
          <w:ilvl w:val="1"/>
          <w:numId w:val="19"/>
        </w:numPr>
        <w:rPr>
          <w:rFonts w:cstheme="minorHAnsi"/>
          <w:i/>
          <w:color w:val="005A96" w:themeColor="accent1"/>
        </w:rPr>
      </w:pPr>
      <w:r w:rsidRPr="009C7287">
        <w:rPr>
          <w:rFonts w:cstheme="minorHAnsi"/>
        </w:rPr>
        <w:t xml:space="preserve"> </w:t>
      </w:r>
      <w:r w:rsidR="00783715">
        <w:rPr>
          <w:rFonts w:cstheme="minorHAnsi"/>
          <w:i/>
          <w:color w:val="005A96" w:themeColor="accent1"/>
        </w:rPr>
        <w:t xml:space="preserve">{Section 5, Assumption 18} </w:t>
      </w:r>
      <w:r w:rsidRPr="009C7287">
        <w:rPr>
          <w:rFonts w:cstheme="minorHAnsi"/>
          <w:i/>
          <w:color w:val="005A96" w:themeColor="accent1"/>
        </w:rPr>
        <w:t>No. The hammer should not damage pavement. Patching</w:t>
      </w:r>
      <w:r w:rsidR="009C7287" w:rsidRPr="009C7287">
        <w:rPr>
          <w:rFonts w:cstheme="minorHAnsi"/>
          <w:i/>
          <w:color w:val="005A96" w:themeColor="accent1"/>
        </w:rPr>
        <w:t xml:space="preserve"> or repair</w:t>
      </w:r>
      <w:r w:rsidRPr="009C7287">
        <w:rPr>
          <w:rFonts w:cstheme="minorHAnsi"/>
          <w:i/>
          <w:color w:val="005A96" w:themeColor="accent1"/>
        </w:rPr>
        <w:t xml:space="preserve"> will be needed where borings are advanced </w:t>
      </w:r>
      <w:r w:rsidR="009C7287" w:rsidRPr="009C7287">
        <w:rPr>
          <w:rFonts w:cstheme="minorHAnsi"/>
          <w:i/>
          <w:color w:val="005A96" w:themeColor="accent1"/>
        </w:rPr>
        <w:t xml:space="preserve">through asphalt </w:t>
      </w:r>
      <w:r w:rsidRPr="009C7287">
        <w:rPr>
          <w:rFonts w:cstheme="minorHAnsi"/>
          <w:i/>
          <w:color w:val="005A96" w:themeColor="accent1"/>
        </w:rPr>
        <w:t xml:space="preserve">for ground truth or mitigation.  </w:t>
      </w:r>
    </w:p>
    <w:p w14:paraId="66C840A9" w14:textId="77777777" w:rsidR="00AC7064" w:rsidRPr="00AC7064" w:rsidRDefault="00216FEE" w:rsidP="00216FEE">
      <w:pPr>
        <w:pStyle w:val="ListParagraph"/>
        <w:numPr>
          <w:ilvl w:val="0"/>
          <w:numId w:val="19"/>
        </w:numPr>
        <w:rPr>
          <w:i/>
        </w:rPr>
      </w:pPr>
      <w:r w:rsidRPr="00AC7064">
        <w:t>Will this equipment get between the sides of the pipe and the haunches?  It seems like the pipe would prevent information in this area.</w:t>
      </w:r>
    </w:p>
    <w:p w14:paraId="4A0C2A32" w14:textId="1A354B92" w:rsidR="00216FEE" w:rsidRPr="00AC7064" w:rsidRDefault="00783715" w:rsidP="00783715">
      <w:pPr>
        <w:pStyle w:val="ListParagraph"/>
        <w:numPr>
          <w:ilvl w:val="1"/>
          <w:numId w:val="19"/>
        </w:numPr>
        <w:rPr>
          <w:i/>
          <w:color w:val="005A96" w:themeColor="accent1"/>
        </w:rPr>
      </w:pPr>
      <w:r w:rsidRPr="00783715">
        <w:rPr>
          <w:color w:val="005A96" w:themeColor="accent1"/>
        </w:rPr>
        <w:t xml:space="preserve">{Section 5, Assumption </w:t>
      </w:r>
      <w:r>
        <w:rPr>
          <w:color w:val="005A96" w:themeColor="accent1"/>
        </w:rPr>
        <w:t>3</w:t>
      </w:r>
      <w:r w:rsidRPr="00783715">
        <w:rPr>
          <w:color w:val="005A96" w:themeColor="accent1"/>
        </w:rPr>
        <w:t>}</w:t>
      </w:r>
      <w:r w:rsidR="00783158">
        <w:rPr>
          <w:color w:val="005A96" w:themeColor="accent1"/>
        </w:rPr>
        <w:t xml:space="preserve"> The equipment is placed on the surface above the pipe.  </w:t>
      </w:r>
      <w:r w:rsidRPr="00783715">
        <w:rPr>
          <w:color w:val="005A96" w:themeColor="accent1"/>
        </w:rPr>
        <w:t xml:space="preserve"> </w:t>
      </w:r>
      <w:r w:rsidR="00216FEE" w:rsidRPr="00AC7064">
        <w:rPr>
          <w:i/>
          <w:color w:val="005A96" w:themeColor="accent1"/>
        </w:rPr>
        <w:t xml:space="preserve">It is possible that MASW will provide useful information about conditions adjacent to the sides </w:t>
      </w:r>
      <w:r w:rsidR="00783158">
        <w:rPr>
          <w:i/>
          <w:color w:val="005A96" w:themeColor="accent1"/>
        </w:rPr>
        <w:t xml:space="preserve">and below the spring line </w:t>
      </w:r>
      <w:r w:rsidR="00216FEE" w:rsidRPr="00AC7064">
        <w:rPr>
          <w:i/>
          <w:color w:val="005A96" w:themeColor="accent1"/>
        </w:rPr>
        <w:t xml:space="preserve">of the pipe. </w:t>
      </w:r>
      <w:r w:rsidR="00783158">
        <w:rPr>
          <w:i/>
          <w:color w:val="005A96" w:themeColor="accent1"/>
        </w:rPr>
        <w:t xml:space="preserve">This information will be shared with the Pipe Mitigation team.  </w:t>
      </w:r>
      <w:r w:rsidR="00216FEE" w:rsidRPr="00AC7064">
        <w:rPr>
          <w:i/>
          <w:color w:val="005A96" w:themeColor="accent1"/>
        </w:rPr>
        <w:t xml:space="preserve">However, it is </w:t>
      </w:r>
      <w:r w:rsidR="00783158">
        <w:rPr>
          <w:i/>
          <w:color w:val="005A96" w:themeColor="accent1"/>
        </w:rPr>
        <w:t xml:space="preserve">possible but </w:t>
      </w:r>
      <w:r w:rsidR="00216FEE" w:rsidRPr="00AC7064">
        <w:rPr>
          <w:i/>
          <w:color w:val="005A96" w:themeColor="accent1"/>
        </w:rPr>
        <w:t xml:space="preserve">not </w:t>
      </w:r>
      <w:r w:rsidR="00783158">
        <w:rPr>
          <w:i/>
          <w:color w:val="005A96" w:themeColor="accent1"/>
        </w:rPr>
        <w:t xml:space="preserve">certain </w:t>
      </w:r>
      <w:r w:rsidR="00216FEE" w:rsidRPr="00AC7064">
        <w:rPr>
          <w:i/>
          <w:color w:val="005A96" w:themeColor="accent1"/>
        </w:rPr>
        <w:t xml:space="preserve">that we will be able to detect loose conditions in the backfill below the pipe by doing this type of survey.  We assume that loose areas below the pipe will be addressed </w:t>
      </w:r>
      <w:r w:rsidR="00AC7064" w:rsidRPr="00AC7064">
        <w:rPr>
          <w:i/>
          <w:color w:val="005A96" w:themeColor="accent1"/>
        </w:rPr>
        <w:t>during the</w:t>
      </w:r>
      <w:r w:rsidR="00216FEE" w:rsidRPr="00AC7064">
        <w:rPr>
          <w:i/>
          <w:color w:val="005A96" w:themeColor="accent1"/>
        </w:rPr>
        <w:t xml:space="preserve"> joint sealing</w:t>
      </w:r>
      <w:r w:rsidR="00AC7064" w:rsidRPr="00AC7064">
        <w:rPr>
          <w:i/>
          <w:color w:val="005A96" w:themeColor="accent1"/>
        </w:rPr>
        <w:t xml:space="preserve"> effort</w:t>
      </w:r>
      <w:r w:rsidR="00216FEE" w:rsidRPr="00AC7064">
        <w:rPr>
          <w:i/>
          <w:color w:val="005A96" w:themeColor="accent1"/>
        </w:rPr>
        <w:t xml:space="preserve">. </w:t>
      </w:r>
    </w:p>
    <w:p w14:paraId="52D540A6" w14:textId="77777777" w:rsidR="00AC7064" w:rsidRPr="00597B2E" w:rsidRDefault="00216FEE" w:rsidP="00216FEE">
      <w:pPr>
        <w:pStyle w:val="ListParagraph"/>
        <w:numPr>
          <w:ilvl w:val="0"/>
          <w:numId w:val="19"/>
        </w:numPr>
        <w:spacing w:after="0" w:line="240" w:lineRule="auto"/>
        <w:rPr>
          <w:rFonts w:eastAsia="Times New Roman"/>
          <w:i/>
        </w:rPr>
      </w:pPr>
      <w:r w:rsidRPr="00597B2E">
        <w:t xml:space="preserve">More information about what the results could look like and what fix would happen for each result.  That needs to be understood upfront. </w:t>
      </w:r>
    </w:p>
    <w:p w14:paraId="42406402" w14:textId="13C5B2C8" w:rsidR="00AC7064" w:rsidRPr="00AC7064" w:rsidRDefault="00783715" w:rsidP="00783715">
      <w:pPr>
        <w:pStyle w:val="ListParagraph"/>
        <w:numPr>
          <w:ilvl w:val="1"/>
          <w:numId w:val="19"/>
        </w:numPr>
        <w:spacing w:after="0" w:line="240" w:lineRule="auto"/>
        <w:rPr>
          <w:rFonts w:eastAsia="Times New Roman"/>
          <w:i/>
          <w:color w:val="005A96" w:themeColor="accent1"/>
        </w:rPr>
      </w:pPr>
      <w:r w:rsidRPr="00783715">
        <w:rPr>
          <w:i/>
          <w:color w:val="005A96" w:themeColor="accent1"/>
        </w:rPr>
        <w:t xml:space="preserve">{Section </w:t>
      </w:r>
      <w:r>
        <w:rPr>
          <w:i/>
          <w:color w:val="005A96" w:themeColor="accent1"/>
        </w:rPr>
        <w:t>2.4.1</w:t>
      </w:r>
      <w:r w:rsidR="00783158">
        <w:rPr>
          <w:i/>
          <w:color w:val="005A96" w:themeColor="accent1"/>
        </w:rPr>
        <w:t xml:space="preserve"> and Appendix B</w:t>
      </w:r>
      <w:r>
        <w:rPr>
          <w:i/>
          <w:color w:val="005A96" w:themeColor="accent1"/>
        </w:rPr>
        <w:t xml:space="preserve">} </w:t>
      </w:r>
      <w:r w:rsidR="00216FEE" w:rsidRPr="00AC7064">
        <w:rPr>
          <w:i/>
          <w:color w:val="005A96" w:themeColor="accent1"/>
        </w:rPr>
        <w:t xml:space="preserve">In general MASW is very straightforward for use in this situation.  It will show a profile of the backfill that will vary by showing intervals of higher or </w:t>
      </w:r>
      <w:r w:rsidR="00216FEE" w:rsidRPr="00597B2E">
        <w:rPr>
          <w:i/>
          <w:color w:val="005A96" w:themeColor="accent1"/>
        </w:rPr>
        <w:t xml:space="preserve">lower </w:t>
      </w:r>
      <w:r w:rsidR="00D54B6B" w:rsidRPr="00597B2E">
        <w:rPr>
          <w:i/>
          <w:color w:val="005A96" w:themeColor="accent1"/>
        </w:rPr>
        <w:t>shear</w:t>
      </w:r>
      <w:r w:rsidR="00BB3BBC" w:rsidRPr="00597B2E">
        <w:rPr>
          <w:i/>
          <w:color w:val="005A96" w:themeColor="accent1"/>
        </w:rPr>
        <w:t xml:space="preserve"> </w:t>
      </w:r>
      <w:r w:rsidR="00216FEE" w:rsidRPr="00597B2E">
        <w:rPr>
          <w:i/>
          <w:color w:val="005A96" w:themeColor="accent1"/>
        </w:rPr>
        <w:t>wav</w:t>
      </w:r>
      <w:r w:rsidR="00AC7064" w:rsidRPr="00597B2E">
        <w:rPr>
          <w:i/>
          <w:color w:val="005A96" w:themeColor="accent1"/>
        </w:rPr>
        <w:t>e</w:t>
      </w:r>
      <w:r w:rsidR="00216FEE" w:rsidRPr="00AC7064">
        <w:rPr>
          <w:i/>
          <w:color w:val="005A96" w:themeColor="accent1"/>
        </w:rPr>
        <w:t xml:space="preserve"> velocity.  Because the rate at which sound waves travel through these materials is a function of the shear strength of those soils, high shear strength is correlated to higher velocity and lower soil shear strength indicates lower velocities. </w:t>
      </w:r>
      <w:r w:rsidR="006C78C0">
        <w:rPr>
          <w:i/>
          <w:color w:val="005A96" w:themeColor="accent1"/>
        </w:rPr>
        <w:t>The fix for shallow areas will most likely be excavation and recompaction. For deeper areas below about 5-7 feet, the presumptive remedy will be compaction grouting consisting of pressure grouting through a drill casing.</w:t>
      </w:r>
    </w:p>
    <w:p w14:paraId="3AF8FBFC" w14:textId="77777777" w:rsidR="00AC7064" w:rsidRPr="00AC7064" w:rsidRDefault="00AC7064" w:rsidP="00AC7064">
      <w:pPr>
        <w:pStyle w:val="ListParagraph"/>
        <w:spacing w:after="0" w:line="240" w:lineRule="auto"/>
        <w:ind w:left="1440"/>
        <w:rPr>
          <w:rFonts w:eastAsia="Times New Roman"/>
          <w:i/>
          <w:color w:val="005A96" w:themeColor="accent1"/>
        </w:rPr>
      </w:pPr>
    </w:p>
    <w:p w14:paraId="6BBC6246" w14:textId="7E6533A3" w:rsidR="00216FEE" w:rsidRPr="00AC7064" w:rsidRDefault="00783715" w:rsidP="00C14A2A">
      <w:pPr>
        <w:pStyle w:val="ListParagraph"/>
        <w:numPr>
          <w:ilvl w:val="1"/>
          <w:numId w:val="19"/>
        </w:numPr>
        <w:spacing w:after="0" w:line="240" w:lineRule="auto"/>
        <w:rPr>
          <w:i/>
          <w:color w:val="005A96" w:themeColor="accent1"/>
        </w:rPr>
      </w:pPr>
      <w:r>
        <w:rPr>
          <w:i/>
          <w:color w:val="005A96" w:themeColor="accent1"/>
        </w:rPr>
        <w:t xml:space="preserve">{Sections 3.6, 3.7} </w:t>
      </w:r>
      <w:r w:rsidR="00AC7064" w:rsidRPr="00AC7064">
        <w:rPr>
          <w:i/>
          <w:color w:val="005A96" w:themeColor="accent1"/>
        </w:rPr>
        <w:t xml:space="preserve">Areas of both high and low shear wave velocities will be included in the ground truth step to provide a correlation between wave velocity and </w:t>
      </w:r>
      <w:r w:rsidR="00AC7064" w:rsidRPr="00597B2E">
        <w:rPr>
          <w:i/>
          <w:color w:val="005A96" w:themeColor="accent1"/>
        </w:rPr>
        <w:t xml:space="preserve">soil </w:t>
      </w:r>
      <w:r w:rsidR="0069234C" w:rsidRPr="00597B2E">
        <w:rPr>
          <w:i/>
          <w:color w:val="005A96" w:themeColor="accent1"/>
        </w:rPr>
        <w:t>stiffness</w:t>
      </w:r>
      <w:r w:rsidR="00AC7064" w:rsidRPr="00597B2E">
        <w:rPr>
          <w:i/>
          <w:color w:val="005A96" w:themeColor="accent1"/>
        </w:rPr>
        <w:t>.</w:t>
      </w:r>
      <w:r w:rsidR="00AC7064" w:rsidRPr="00AC7064">
        <w:rPr>
          <w:i/>
          <w:color w:val="005A96" w:themeColor="accent1"/>
        </w:rPr>
        <w:t xml:space="preserve">  Areas that are correlated with low strength/velocity will be mitigated.  The mitigation selected will depend on the factors at the depth/location where the apparent weak soils are discovered.  The mitigation is intended to increase soil shear strength in the backfill regardless of whether a distinct void is observed.</w:t>
      </w:r>
    </w:p>
    <w:p w14:paraId="44E5EEB4" w14:textId="06D456E4" w:rsidR="00AC7064" w:rsidRPr="00AC7064" w:rsidRDefault="00216FEE" w:rsidP="00216FEE">
      <w:pPr>
        <w:pStyle w:val="ListParagraph"/>
        <w:numPr>
          <w:ilvl w:val="0"/>
          <w:numId w:val="19"/>
        </w:numPr>
        <w:spacing w:after="0" w:line="240" w:lineRule="auto"/>
        <w:rPr>
          <w:rFonts w:eastAsia="Times New Roman"/>
          <w:i/>
        </w:rPr>
      </w:pPr>
      <w:r w:rsidRPr="00AC7064">
        <w:rPr>
          <w:rFonts w:eastAsia="Times New Roman"/>
        </w:rPr>
        <w:t>The plan is not consistent with nomenclature.  Several areas only highlight ‘voids’.  The Department is interested in mitigating both voids, and loosely backfilled zones.  These zones may extend from the ground surface, t</w:t>
      </w:r>
      <w:r w:rsidR="00F00DE4">
        <w:rPr>
          <w:rFonts w:eastAsia="Times New Roman"/>
        </w:rPr>
        <w:t>o the haunch areas of the pipe.</w:t>
      </w:r>
      <w:r w:rsidRPr="00AC7064">
        <w:rPr>
          <w:rFonts w:eastAsia="Times New Roman"/>
        </w:rPr>
        <w:t xml:space="preserve"> </w:t>
      </w:r>
      <w:r w:rsidR="00A669C2" w:rsidRPr="00A669C2">
        <w:rPr>
          <w:rFonts w:eastAsia="Times New Roman"/>
          <w:i/>
          <w:color w:val="005A96" w:themeColor="accent1"/>
        </w:rPr>
        <w:t>{Section 5, assumption 3}</w:t>
      </w:r>
      <w:r w:rsidR="00A669C2" w:rsidRPr="00A669C2">
        <w:rPr>
          <w:rFonts w:eastAsia="Times New Roman"/>
          <w:i/>
        </w:rPr>
        <w:t>.</w:t>
      </w:r>
      <w:r w:rsidR="00A669C2" w:rsidRPr="00A669C2">
        <w:rPr>
          <w:rFonts w:eastAsia="Times New Roman"/>
        </w:rPr>
        <w:t xml:space="preserve"> </w:t>
      </w:r>
      <w:r w:rsidRPr="00AC7064">
        <w:rPr>
          <w:rFonts w:eastAsia="Times New Roman"/>
        </w:rPr>
        <w:t>We are assuming the pipe grouting will correct any loose/voided support areas below the pipe, and within the haunch areas</w:t>
      </w:r>
      <w:r w:rsidR="00A669C2">
        <w:rPr>
          <w:rFonts w:eastAsia="Times New Roman"/>
        </w:rPr>
        <w:t xml:space="preserve"> </w:t>
      </w:r>
      <w:r w:rsidR="00F00DE4">
        <w:rPr>
          <w:rFonts w:eastAsia="Times New Roman"/>
        </w:rPr>
        <w:t xml:space="preserve"> </w:t>
      </w:r>
    </w:p>
    <w:p w14:paraId="35DDD1DD" w14:textId="120352F4" w:rsidR="00216FEE" w:rsidRDefault="00A669C2" w:rsidP="00AC7064">
      <w:pPr>
        <w:pStyle w:val="ListParagraph"/>
        <w:numPr>
          <w:ilvl w:val="1"/>
          <w:numId w:val="19"/>
        </w:numPr>
        <w:spacing w:after="0" w:line="240" w:lineRule="auto"/>
        <w:rPr>
          <w:rFonts w:eastAsia="Times New Roman"/>
          <w:i/>
          <w:color w:val="005A96" w:themeColor="accent1"/>
        </w:rPr>
      </w:pPr>
      <w:r>
        <w:rPr>
          <w:rFonts w:eastAsia="Times New Roman"/>
          <w:i/>
          <w:color w:val="005A96" w:themeColor="accent1"/>
        </w:rPr>
        <w:t xml:space="preserve">{Section 2.4.1} </w:t>
      </w:r>
      <w:r w:rsidR="00216FEE" w:rsidRPr="00AC7064">
        <w:rPr>
          <w:rFonts w:eastAsia="Times New Roman"/>
          <w:i/>
          <w:color w:val="005A96" w:themeColor="accent1"/>
        </w:rPr>
        <w:t xml:space="preserve">Our plan is intended to identify and mitigate areas of low velocity shear wave features which we </w:t>
      </w:r>
      <w:r w:rsidR="00935A65">
        <w:rPr>
          <w:rFonts w:eastAsia="Times New Roman"/>
          <w:i/>
          <w:color w:val="005A96" w:themeColor="accent1"/>
        </w:rPr>
        <w:t xml:space="preserve">were </w:t>
      </w:r>
      <w:r w:rsidR="00216FEE" w:rsidRPr="00AC7064">
        <w:rPr>
          <w:rFonts w:eastAsia="Times New Roman"/>
          <w:i/>
          <w:color w:val="005A96" w:themeColor="accent1"/>
        </w:rPr>
        <w:t xml:space="preserve">referring to generically as voids. </w:t>
      </w:r>
      <w:r w:rsidR="00935A65">
        <w:rPr>
          <w:rFonts w:eastAsia="Times New Roman"/>
          <w:i/>
          <w:color w:val="005A96" w:themeColor="accent1"/>
        </w:rPr>
        <w:t>The work plan has been updated to refer to loose soils as low density features.</w:t>
      </w:r>
      <w:r w:rsidR="00216FEE" w:rsidRPr="00AC7064">
        <w:rPr>
          <w:rFonts w:eastAsia="Times New Roman"/>
          <w:i/>
          <w:color w:val="005A96" w:themeColor="accent1"/>
        </w:rPr>
        <w:t xml:space="preserve"> The</w:t>
      </w:r>
      <w:r w:rsidR="00BB3BBC">
        <w:rPr>
          <w:rFonts w:eastAsia="Times New Roman"/>
          <w:i/>
          <w:color w:val="005A96" w:themeColor="accent1"/>
        </w:rPr>
        <w:t xml:space="preserve"> wave velocity contrast identified as low surface wave velocity </w:t>
      </w:r>
      <w:r w:rsidR="00216FEE" w:rsidRPr="00AC7064">
        <w:rPr>
          <w:rFonts w:eastAsia="Times New Roman"/>
          <w:i/>
          <w:color w:val="005A96" w:themeColor="accent1"/>
        </w:rPr>
        <w:t xml:space="preserve">may represent a continuum of soil conditions ranging from dry loose sand, wet soft clay, loose backfill, and/or </w:t>
      </w:r>
      <w:r w:rsidR="00935A65">
        <w:rPr>
          <w:rFonts w:eastAsia="Times New Roman"/>
          <w:i/>
          <w:color w:val="005A96" w:themeColor="accent1"/>
        </w:rPr>
        <w:t xml:space="preserve">air filled </w:t>
      </w:r>
      <w:r w:rsidR="00216FEE" w:rsidRPr="00AC7064">
        <w:rPr>
          <w:rFonts w:eastAsia="Times New Roman"/>
          <w:i/>
          <w:color w:val="005A96" w:themeColor="accent1"/>
        </w:rPr>
        <w:t>voids.</w:t>
      </w:r>
    </w:p>
    <w:p w14:paraId="24921B75" w14:textId="2C4568F8" w:rsidR="00935A65" w:rsidRPr="00AC7064" w:rsidRDefault="00935A65" w:rsidP="00AC7064">
      <w:pPr>
        <w:pStyle w:val="ListParagraph"/>
        <w:numPr>
          <w:ilvl w:val="1"/>
          <w:numId w:val="19"/>
        </w:numPr>
        <w:spacing w:after="0" w:line="240" w:lineRule="auto"/>
        <w:rPr>
          <w:rFonts w:eastAsia="Times New Roman"/>
          <w:i/>
          <w:color w:val="005A96" w:themeColor="accent1"/>
        </w:rPr>
      </w:pPr>
      <w:r>
        <w:rPr>
          <w:rFonts w:eastAsia="Times New Roman"/>
          <w:i/>
          <w:color w:val="005A96" w:themeColor="accent1"/>
        </w:rPr>
        <w:t>We concur with the assumption that the Pipe Mitigation team is addressing low density soils below the spring line of the pipe (we avoided the term haunches as there seems to be some confusion as to what this term means.</w:t>
      </w:r>
    </w:p>
    <w:p w14:paraId="28923A5D" w14:textId="77777777" w:rsidR="00AC7064" w:rsidRPr="00597B2E" w:rsidRDefault="00216FEE" w:rsidP="00216FEE">
      <w:pPr>
        <w:numPr>
          <w:ilvl w:val="0"/>
          <w:numId w:val="19"/>
        </w:numPr>
        <w:spacing w:after="0"/>
        <w:rPr>
          <w:rFonts w:eastAsia="Times New Roman"/>
          <w:i/>
        </w:rPr>
      </w:pPr>
      <w:r w:rsidRPr="00597B2E">
        <w:rPr>
          <w:rFonts w:eastAsia="Times New Roman"/>
        </w:rPr>
        <w:t xml:space="preserve">The proposal indicates that only 1000’ of the pipe trench has been compromised.  What is the fix in this 1000’ area that has been compromised?  The Department feels the complete 3000’ may be compromised, but distress may not have been exhibited in the upper 2000’ of pipe yet, because it is buried deeper (has more cover).  The contractor needs to prove to us that this area has no issues.  This may require multiple MASW lines in the 2000’ length. </w:t>
      </w:r>
    </w:p>
    <w:p w14:paraId="19C8CA87" w14:textId="68B9701A" w:rsidR="00216FEE" w:rsidRDefault="00F00DE4" w:rsidP="00F00DE4">
      <w:pPr>
        <w:numPr>
          <w:ilvl w:val="1"/>
          <w:numId w:val="19"/>
        </w:numPr>
        <w:spacing w:after="0"/>
        <w:rPr>
          <w:rFonts w:eastAsia="Times New Roman"/>
          <w:i/>
          <w:color w:val="005A96" w:themeColor="accent1"/>
        </w:rPr>
      </w:pPr>
      <w:r w:rsidRPr="00F00DE4">
        <w:rPr>
          <w:rFonts w:eastAsia="Times New Roman"/>
          <w:i/>
          <w:color w:val="005A96" w:themeColor="accent1"/>
        </w:rPr>
        <w:t xml:space="preserve">{Section 2.1} </w:t>
      </w:r>
      <w:r w:rsidR="00216FEE" w:rsidRPr="00AC7064">
        <w:rPr>
          <w:rFonts w:eastAsia="Times New Roman"/>
          <w:i/>
          <w:color w:val="005A96" w:themeColor="accent1"/>
        </w:rPr>
        <w:t>The plan is amended so that MASW will be conducted in 3 passes (transects) along the entire 3</w:t>
      </w:r>
      <w:r w:rsidR="00AC7064" w:rsidRPr="00AC7064">
        <w:rPr>
          <w:rFonts w:eastAsia="Times New Roman"/>
          <w:i/>
          <w:color w:val="005A96" w:themeColor="accent1"/>
        </w:rPr>
        <w:t>,</w:t>
      </w:r>
      <w:r w:rsidR="00216FEE" w:rsidRPr="00AC7064">
        <w:rPr>
          <w:rFonts w:eastAsia="Times New Roman"/>
          <w:i/>
          <w:color w:val="005A96" w:themeColor="accent1"/>
        </w:rPr>
        <w:t>000 foot centerline length of pipe as well as either side of the pipe.</w:t>
      </w:r>
    </w:p>
    <w:p w14:paraId="7D60E548" w14:textId="77777777" w:rsidR="00BB6232" w:rsidRPr="00AC7064" w:rsidRDefault="00BB6232" w:rsidP="00BB6232">
      <w:pPr>
        <w:spacing w:after="0"/>
        <w:ind w:left="1440"/>
        <w:rPr>
          <w:rFonts w:eastAsia="Times New Roman"/>
          <w:i/>
          <w:color w:val="005A96" w:themeColor="accent1"/>
        </w:rPr>
      </w:pPr>
    </w:p>
    <w:p w14:paraId="470E5C35" w14:textId="51A531FA" w:rsidR="00216FEE" w:rsidRDefault="00AC7064" w:rsidP="00BB6232">
      <w:pPr>
        <w:spacing w:after="0"/>
        <w:rPr>
          <w:rFonts w:eastAsia="Times New Roman"/>
        </w:rPr>
      </w:pPr>
      <w:r>
        <w:rPr>
          <w:rFonts w:eastAsia="Times New Roman"/>
        </w:rPr>
        <w:t xml:space="preserve">3.0 </w:t>
      </w:r>
      <w:r w:rsidR="00216FEE">
        <w:rPr>
          <w:rFonts w:eastAsia="Times New Roman"/>
        </w:rPr>
        <w:t>General - More explanation is needed in several areas, as detailed below.</w:t>
      </w:r>
    </w:p>
    <w:p w14:paraId="60347163" w14:textId="77777777" w:rsidR="00BB6232" w:rsidRPr="00BB6232" w:rsidRDefault="00BB6232" w:rsidP="00BB6232">
      <w:pPr>
        <w:pStyle w:val="ListParagraph"/>
        <w:numPr>
          <w:ilvl w:val="0"/>
          <w:numId w:val="20"/>
        </w:numPr>
        <w:spacing w:after="0"/>
        <w:rPr>
          <w:rFonts w:eastAsia="Times New Roman"/>
          <w:i/>
        </w:rPr>
      </w:pPr>
      <w:r w:rsidRPr="00BB6232">
        <w:rPr>
          <w:rFonts w:eastAsia="Times New Roman"/>
        </w:rPr>
        <w:lastRenderedPageBreak/>
        <w:t xml:space="preserve">3.0 Bullet 5.  Proposal proposes a ‘geophysical survey’ for 2000’ of the pipe.  We assume this means MASW, but this is not specified. </w:t>
      </w:r>
    </w:p>
    <w:p w14:paraId="497B25C0" w14:textId="7CA93D9E" w:rsidR="00BB6232" w:rsidRDefault="00BB6232" w:rsidP="00BB6232">
      <w:pPr>
        <w:pStyle w:val="ListParagraph"/>
        <w:numPr>
          <w:ilvl w:val="1"/>
          <w:numId w:val="20"/>
        </w:numPr>
        <w:spacing w:after="0"/>
        <w:rPr>
          <w:rFonts w:eastAsia="Times New Roman"/>
          <w:i/>
          <w:color w:val="005A96" w:themeColor="accent1"/>
        </w:rPr>
      </w:pPr>
      <w:r w:rsidRPr="00BB6232">
        <w:rPr>
          <w:rFonts w:eastAsia="Times New Roman"/>
          <w:i/>
          <w:color w:val="005A96" w:themeColor="accent1"/>
        </w:rPr>
        <w:t>Correct; we propose MASW as the geophysical method of investigation.</w:t>
      </w:r>
    </w:p>
    <w:p w14:paraId="79B4B3A3" w14:textId="77777777" w:rsidR="00BB6232" w:rsidRDefault="00BB6232" w:rsidP="00BB6232">
      <w:pPr>
        <w:pStyle w:val="ListParagraph"/>
        <w:numPr>
          <w:ilvl w:val="0"/>
          <w:numId w:val="20"/>
        </w:numPr>
        <w:spacing w:after="0"/>
        <w:rPr>
          <w:rFonts w:eastAsia="Times New Roman"/>
        </w:rPr>
      </w:pPr>
      <w:r w:rsidRPr="00BB6232">
        <w:rPr>
          <w:rFonts w:eastAsia="Times New Roman"/>
        </w:rPr>
        <w:t>3.0 Bullet 6.  More definition/explanation of potential mitigation actions need to be provided. (Discussed further in later comments.)</w:t>
      </w:r>
    </w:p>
    <w:p w14:paraId="3AFB9A54" w14:textId="024A5BE9" w:rsidR="00BB6232" w:rsidRPr="00BB6232" w:rsidRDefault="00BB6232" w:rsidP="00BB6232">
      <w:pPr>
        <w:pStyle w:val="ListParagraph"/>
        <w:numPr>
          <w:ilvl w:val="1"/>
          <w:numId w:val="20"/>
        </w:numPr>
        <w:spacing w:after="0"/>
        <w:rPr>
          <w:rFonts w:eastAsia="Times New Roman"/>
          <w:color w:val="005A96" w:themeColor="accent1"/>
        </w:rPr>
      </w:pPr>
      <w:r w:rsidRPr="00BB6232">
        <w:rPr>
          <w:rFonts w:eastAsia="Times New Roman"/>
          <w:color w:val="005A96" w:themeColor="accent1"/>
        </w:rPr>
        <w:t xml:space="preserve"> </w:t>
      </w:r>
      <w:r w:rsidRPr="00BB6232">
        <w:rPr>
          <w:rFonts w:eastAsia="Times New Roman"/>
          <w:i/>
          <w:color w:val="005A96" w:themeColor="accent1"/>
        </w:rPr>
        <w:t>Described below as noted.</w:t>
      </w:r>
    </w:p>
    <w:p w14:paraId="03ADC36C" w14:textId="77777777" w:rsidR="00BB6232" w:rsidRPr="00BB6232" w:rsidRDefault="00BB6232" w:rsidP="00BB6232">
      <w:pPr>
        <w:pStyle w:val="ListParagraph"/>
        <w:spacing w:after="0"/>
        <w:rPr>
          <w:rFonts w:eastAsia="Times New Roman"/>
          <w:i/>
          <w:color w:val="005A96" w:themeColor="accent1"/>
        </w:rPr>
      </w:pPr>
    </w:p>
    <w:p w14:paraId="54DCB9D1" w14:textId="77777777" w:rsidR="00BB6232" w:rsidRPr="00BB6232" w:rsidRDefault="00216FEE" w:rsidP="00BB6232">
      <w:pPr>
        <w:pStyle w:val="ListParagraph"/>
        <w:numPr>
          <w:ilvl w:val="0"/>
          <w:numId w:val="20"/>
        </w:numPr>
        <w:spacing w:after="0"/>
        <w:rPr>
          <w:rFonts w:eastAsia="Times New Roman"/>
        </w:rPr>
      </w:pPr>
      <w:r w:rsidRPr="00BB6232">
        <w:rPr>
          <w:rFonts w:eastAsia="Times New Roman"/>
        </w:rPr>
        <w:t>3.0 Last bullet.  Some uncertainty of possible future issues is raised.  We feel part of this proposal should include some type of monitoring program over time.</w:t>
      </w:r>
      <w:r>
        <w:rPr>
          <w:rFonts w:eastAsia="Times New Roman"/>
        </w:rPr>
        <w:t xml:space="preserve"> </w:t>
      </w:r>
    </w:p>
    <w:p w14:paraId="047C95D5" w14:textId="13CFA51C" w:rsidR="00216FEE" w:rsidRPr="00BB6232" w:rsidRDefault="00F00DE4" w:rsidP="00F00DE4">
      <w:pPr>
        <w:numPr>
          <w:ilvl w:val="1"/>
          <w:numId w:val="19"/>
        </w:numPr>
        <w:spacing w:after="0"/>
        <w:rPr>
          <w:rFonts w:eastAsia="Times New Roman"/>
          <w:i/>
          <w:color w:val="005A96" w:themeColor="accent1"/>
        </w:rPr>
      </w:pPr>
      <w:r w:rsidRPr="00F00DE4">
        <w:rPr>
          <w:rFonts w:eastAsia="Times New Roman"/>
          <w:i/>
          <w:color w:val="005A96" w:themeColor="accent1"/>
        </w:rPr>
        <w:t xml:space="preserve">{Section </w:t>
      </w:r>
      <w:r>
        <w:rPr>
          <w:rFonts w:eastAsia="Times New Roman"/>
          <w:i/>
          <w:color w:val="005A96" w:themeColor="accent1"/>
        </w:rPr>
        <w:t>3.7.4</w:t>
      </w:r>
      <w:r w:rsidRPr="00F00DE4">
        <w:rPr>
          <w:rFonts w:eastAsia="Times New Roman"/>
          <w:i/>
          <w:color w:val="005A96" w:themeColor="accent1"/>
        </w:rPr>
        <w:t xml:space="preserve">} </w:t>
      </w:r>
      <w:r w:rsidR="00216FEE" w:rsidRPr="00BB6232">
        <w:rPr>
          <w:rFonts w:eastAsia="Times New Roman"/>
          <w:i/>
          <w:color w:val="005A96" w:themeColor="accent1"/>
        </w:rPr>
        <w:t>Our final report will include recommendations for additional monitoring based on the results of the final verification resurvey.</w:t>
      </w:r>
      <w:r w:rsidR="00BB6232" w:rsidRPr="00BB6232">
        <w:rPr>
          <w:rFonts w:eastAsia="Times New Roman"/>
          <w:i/>
          <w:color w:val="005A96" w:themeColor="accent1"/>
        </w:rPr>
        <w:t xml:space="preserve">  After the investigation and mitigation provides a thorough understanding of subsurface conditions informed decisions can be made when determining if a monitoring program is </w:t>
      </w:r>
      <w:r w:rsidR="009A4B8A" w:rsidRPr="00BB6232">
        <w:rPr>
          <w:rFonts w:eastAsia="Times New Roman"/>
          <w:i/>
          <w:color w:val="005A96" w:themeColor="accent1"/>
        </w:rPr>
        <w:t>necessary</w:t>
      </w:r>
      <w:r w:rsidR="00BB6232" w:rsidRPr="00BB6232">
        <w:rPr>
          <w:rFonts w:eastAsia="Times New Roman"/>
          <w:i/>
          <w:color w:val="005A96" w:themeColor="accent1"/>
        </w:rPr>
        <w:t>.</w:t>
      </w:r>
      <w:r w:rsidR="00BB6232" w:rsidRPr="00DB28C6">
        <w:rPr>
          <w:rFonts w:eastAsia="Times New Roman"/>
          <w:i/>
          <w:color w:val="005A96" w:themeColor="accent1"/>
        </w:rPr>
        <w:t xml:space="preserve"> </w:t>
      </w:r>
      <w:r w:rsidR="00935A65">
        <w:rPr>
          <w:rFonts w:eastAsia="Times New Roman"/>
          <w:i/>
          <w:color w:val="005A96" w:themeColor="accent1"/>
        </w:rPr>
        <w:t xml:space="preserve">We have added </w:t>
      </w:r>
      <w:r w:rsidR="009A4B8A" w:rsidRPr="00DB28C6">
        <w:rPr>
          <w:rFonts w:eastAsia="Times New Roman"/>
          <w:i/>
          <w:color w:val="005A96" w:themeColor="accent1"/>
        </w:rPr>
        <w:t>a</w:t>
      </w:r>
      <w:r w:rsidR="00BB6232" w:rsidRPr="00DB28C6">
        <w:rPr>
          <w:rFonts w:eastAsia="Times New Roman"/>
          <w:i/>
          <w:color w:val="005A96" w:themeColor="accent1"/>
        </w:rPr>
        <w:t xml:space="preserve"> follow up MASW scan </w:t>
      </w:r>
      <w:r w:rsidR="00597B2E" w:rsidRPr="00DB28C6">
        <w:rPr>
          <w:rFonts w:eastAsia="Times New Roman"/>
          <w:i/>
          <w:color w:val="005A96" w:themeColor="accent1"/>
        </w:rPr>
        <w:t xml:space="preserve">conducted </w:t>
      </w:r>
      <w:r w:rsidR="009A4B8A" w:rsidRPr="00DB28C6">
        <w:rPr>
          <w:rFonts w:eastAsia="Times New Roman"/>
          <w:i/>
          <w:color w:val="005A96" w:themeColor="accent1"/>
        </w:rPr>
        <w:t xml:space="preserve">approximately </w:t>
      </w:r>
      <w:r w:rsidR="00935A65">
        <w:rPr>
          <w:rFonts w:eastAsia="Times New Roman"/>
          <w:i/>
          <w:color w:val="005A96" w:themeColor="accent1"/>
        </w:rPr>
        <w:t xml:space="preserve">4 months </w:t>
      </w:r>
      <w:r w:rsidR="00BB6232" w:rsidRPr="00DB28C6">
        <w:rPr>
          <w:rFonts w:eastAsia="Times New Roman"/>
          <w:i/>
          <w:color w:val="005A96" w:themeColor="accent1"/>
        </w:rPr>
        <w:t>after the mitigation has been completed would provide adequate data to determine if any additional issues develop</w:t>
      </w:r>
      <w:r w:rsidR="00935A65">
        <w:rPr>
          <w:rFonts w:eastAsia="Times New Roman"/>
          <w:i/>
          <w:color w:val="005A96" w:themeColor="accent1"/>
        </w:rPr>
        <w:t xml:space="preserve"> in addition to a 1 year follow up survey.</w:t>
      </w:r>
    </w:p>
    <w:p w14:paraId="5752AE22" w14:textId="75935BE6" w:rsidR="00F45C9D" w:rsidRDefault="00216FEE" w:rsidP="00216FEE">
      <w:pPr>
        <w:numPr>
          <w:ilvl w:val="0"/>
          <w:numId w:val="19"/>
        </w:numPr>
        <w:spacing w:after="0"/>
        <w:rPr>
          <w:rFonts w:eastAsia="Times New Roman"/>
        </w:rPr>
      </w:pPr>
      <w:r w:rsidRPr="000C386D">
        <w:rPr>
          <w:rFonts w:eastAsia="Times New Roman"/>
        </w:rPr>
        <w:t xml:space="preserve">4.0 As previously stated, MASW should be used to identify both voids and loose zones.  Some parts of this section discuss voids only.  </w:t>
      </w:r>
    </w:p>
    <w:p w14:paraId="44BF27B5" w14:textId="621567A5" w:rsidR="00F45C9D" w:rsidRPr="00F45C9D" w:rsidRDefault="00C51B4F" w:rsidP="00C51B4F">
      <w:pPr>
        <w:numPr>
          <w:ilvl w:val="1"/>
          <w:numId w:val="19"/>
        </w:numPr>
        <w:spacing w:after="0"/>
        <w:rPr>
          <w:rFonts w:eastAsia="Times New Roman"/>
          <w:color w:val="005A96" w:themeColor="accent1"/>
        </w:rPr>
      </w:pPr>
      <w:r>
        <w:rPr>
          <w:rFonts w:eastAsia="Times New Roman"/>
          <w:i/>
          <w:color w:val="005A96" w:themeColor="accent1"/>
        </w:rPr>
        <w:t>{</w:t>
      </w:r>
      <w:r w:rsidRPr="00C51B4F">
        <w:rPr>
          <w:rFonts w:eastAsia="Times New Roman"/>
          <w:i/>
          <w:color w:val="005A96" w:themeColor="accent1"/>
        </w:rPr>
        <w:t xml:space="preserve">Section 2.4.1} </w:t>
      </w:r>
      <w:r w:rsidR="00216FEE" w:rsidRPr="00F45C9D">
        <w:rPr>
          <w:rFonts w:eastAsia="Times New Roman"/>
          <w:i/>
          <w:color w:val="005A96" w:themeColor="accent1"/>
        </w:rPr>
        <w:t>Both terms can be interpreted to mean low velocity zones.  We expect that both conditions are likely to coexist in areas below subsidence features and both are planned to be mitigated</w:t>
      </w:r>
      <w:r w:rsidR="00BB3BBC">
        <w:rPr>
          <w:rFonts w:eastAsia="Times New Roman"/>
          <w:i/>
          <w:color w:val="005A96" w:themeColor="accent1"/>
        </w:rPr>
        <w:t xml:space="preserve"> if observed.</w:t>
      </w:r>
    </w:p>
    <w:p w14:paraId="2453A048" w14:textId="77777777" w:rsidR="00F45C9D" w:rsidRDefault="00F45C9D" w:rsidP="00216FEE">
      <w:pPr>
        <w:numPr>
          <w:ilvl w:val="0"/>
          <w:numId w:val="19"/>
        </w:numPr>
        <w:spacing w:after="0"/>
        <w:rPr>
          <w:rFonts w:eastAsia="Times New Roman"/>
        </w:rPr>
      </w:pPr>
      <w:r>
        <w:rPr>
          <w:rFonts w:eastAsia="Times New Roman"/>
        </w:rPr>
        <w:t>4.3</w:t>
      </w:r>
      <w:r w:rsidR="00216FEE" w:rsidRPr="000C386D">
        <w:rPr>
          <w:rFonts w:eastAsia="Times New Roman"/>
        </w:rPr>
        <w:t xml:space="preserve"> Will the MASW lines located at the outer pipe edges adequately provide coverage for the complete trench excavation width?  </w:t>
      </w:r>
    </w:p>
    <w:p w14:paraId="3A8CCBD8" w14:textId="23674C77" w:rsidR="00216FEE" w:rsidRPr="00F45C9D" w:rsidRDefault="00C51B4F" w:rsidP="00F45C9D">
      <w:pPr>
        <w:numPr>
          <w:ilvl w:val="1"/>
          <w:numId w:val="19"/>
        </w:numPr>
        <w:spacing w:after="0"/>
        <w:rPr>
          <w:rFonts w:eastAsia="Times New Roman"/>
          <w:color w:val="005A96" w:themeColor="accent1"/>
        </w:rPr>
      </w:pPr>
      <w:r>
        <w:rPr>
          <w:rFonts w:eastAsia="Times New Roman"/>
          <w:i/>
          <w:color w:val="005A96" w:themeColor="accent1"/>
        </w:rPr>
        <w:t xml:space="preserve">{Section 3.4} </w:t>
      </w:r>
      <w:r w:rsidR="00216FEE" w:rsidRPr="00F45C9D">
        <w:rPr>
          <w:rFonts w:eastAsia="Times New Roman"/>
          <w:i/>
          <w:color w:val="005A96" w:themeColor="accent1"/>
        </w:rPr>
        <w:t xml:space="preserve">Yes.  We believe that the outside MASW lines </w:t>
      </w:r>
      <w:r w:rsidR="00935A65">
        <w:rPr>
          <w:rFonts w:eastAsia="Times New Roman"/>
          <w:i/>
          <w:color w:val="005A96" w:themeColor="accent1"/>
        </w:rPr>
        <w:t xml:space="preserve">alone are likely </w:t>
      </w:r>
      <w:r w:rsidR="00216FEE" w:rsidRPr="00F45C9D">
        <w:rPr>
          <w:rFonts w:eastAsia="Times New Roman"/>
          <w:i/>
          <w:color w:val="005A96" w:themeColor="accent1"/>
        </w:rPr>
        <w:t xml:space="preserve">adequate to identify potential mitigation areas above the pipe both along its centerline as well as the edges. </w:t>
      </w:r>
      <w:r w:rsidR="00184A2F">
        <w:rPr>
          <w:rFonts w:eastAsia="Times New Roman"/>
          <w:i/>
          <w:color w:val="005A96" w:themeColor="accent1"/>
        </w:rPr>
        <w:t>We have added the extra line along the pipe center as a quality control effort.</w:t>
      </w:r>
    </w:p>
    <w:p w14:paraId="11551064" w14:textId="77777777" w:rsidR="00F45C9D" w:rsidRPr="00F45C9D" w:rsidRDefault="00F45C9D" w:rsidP="00216FEE">
      <w:pPr>
        <w:numPr>
          <w:ilvl w:val="0"/>
          <w:numId w:val="19"/>
        </w:numPr>
        <w:spacing w:after="0"/>
        <w:rPr>
          <w:rFonts w:eastAsia="Times New Roman"/>
          <w:i/>
        </w:rPr>
      </w:pPr>
      <w:r w:rsidRPr="00F45C9D">
        <w:rPr>
          <w:rFonts w:eastAsia="Times New Roman"/>
        </w:rPr>
        <w:t>4.3</w:t>
      </w:r>
      <w:r w:rsidR="00216FEE" w:rsidRPr="00F45C9D">
        <w:rPr>
          <w:rFonts w:eastAsia="Times New Roman"/>
        </w:rPr>
        <w:t xml:space="preserve"> Will MASW lines/data adequately delineate the material characteristics located in the zone from the top of the ‘repaired’ haunches, to the top of the pipe?  Will the results from this area be ‘masked’ by the pipe?  </w:t>
      </w:r>
    </w:p>
    <w:p w14:paraId="4674F18A" w14:textId="60133E33" w:rsidR="00216FEE" w:rsidRPr="00F45C9D" w:rsidRDefault="00C51B4F" w:rsidP="00F45C9D">
      <w:pPr>
        <w:numPr>
          <w:ilvl w:val="1"/>
          <w:numId w:val="19"/>
        </w:numPr>
        <w:spacing w:after="0"/>
        <w:rPr>
          <w:rFonts w:eastAsia="Times New Roman"/>
          <w:i/>
          <w:color w:val="005A96" w:themeColor="accent1"/>
        </w:rPr>
      </w:pPr>
      <w:r>
        <w:rPr>
          <w:rFonts w:eastAsia="Times New Roman"/>
          <w:i/>
          <w:color w:val="005A96" w:themeColor="accent1"/>
        </w:rPr>
        <w:t xml:space="preserve">{Section 3.4} </w:t>
      </w:r>
      <w:r w:rsidR="00216FEE" w:rsidRPr="00F45C9D">
        <w:rPr>
          <w:rFonts w:eastAsia="Times New Roman"/>
          <w:i/>
          <w:color w:val="005A96" w:themeColor="accent1"/>
        </w:rPr>
        <w:t xml:space="preserve">The MASW survey lines outside the centerline are intended to address the backfill conditions along the </w:t>
      </w:r>
      <w:r w:rsidR="00184A2F">
        <w:rPr>
          <w:rFonts w:eastAsia="Times New Roman"/>
          <w:i/>
          <w:color w:val="005A96" w:themeColor="accent1"/>
        </w:rPr>
        <w:t xml:space="preserve">outermost </w:t>
      </w:r>
      <w:r w:rsidR="00216FEE" w:rsidRPr="00F45C9D">
        <w:rPr>
          <w:rFonts w:eastAsia="Times New Roman"/>
          <w:i/>
          <w:color w:val="005A96" w:themeColor="accent1"/>
        </w:rPr>
        <w:t>edge</w:t>
      </w:r>
      <w:r w:rsidR="00184A2F">
        <w:rPr>
          <w:rFonts w:eastAsia="Times New Roman"/>
          <w:i/>
          <w:color w:val="005A96" w:themeColor="accent1"/>
        </w:rPr>
        <w:t xml:space="preserve"> (spring line) </w:t>
      </w:r>
      <w:r w:rsidR="00216FEE" w:rsidRPr="00F45C9D">
        <w:rPr>
          <w:rFonts w:eastAsia="Times New Roman"/>
          <w:i/>
          <w:color w:val="005A96" w:themeColor="accent1"/>
        </w:rPr>
        <w:t>of the pipe</w:t>
      </w:r>
      <w:r w:rsidR="00184A2F">
        <w:rPr>
          <w:rFonts w:eastAsia="Times New Roman"/>
          <w:i/>
          <w:color w:val="005A96" w:themeColor="accent1"/>
        </w:rPr>
        <w:t xml:space="preserve"> and the overlying </w:t>
      </w:r>
      <w:r w:rsidR="00216FEE" w:rsidRPr="00F45C9D">
        <w:rPr>
          <w:rFonts w:eastAsia="Times New Roman"/>
          <w:i/>
          <w:color w:val="005A96" w:themeColor="accent1"/>
        </w:rPr>
        <w:t>backfill.</w:t>
      </w:r>
      <w:r w:rsidR="00184A2F">
        <w:rPr>
          <w:rFonts w:eastAsia="Times New Roman"/>
          <w:i/>
          <w:color w:val="005A96" w:themeColor="accent1"/>
        </w:rPr>
        <w:t xml:space="preserve">  The pipe is a rigid 8 inch thick concrete material but at the same time, MASW may not resolve thin layers because the surface waves penetrating deeper areas are generally longer wavelengths. The longer wave lengths have lower resolution so they will not be blocked by the pipe.  We propose conducting CPT </w:t>
      </w:r>
      <w:r w:rsidR="00AD09DB">
        <w:rPr>
          <w:rFonts w:eastAsia="Times New Roman"/>
          <w:i/>
          <w:color w:val="005A96" w:themeColor="accent1"/>
        </w:rPr>
        <w:t>Borings</w:t>
      </w:r>
      <w:r w:rsidR="00184A2F">
        <w:rPr>
          <w:rFonts w:eastAsia="Times New Roman"/>
          <w:i/>
          <w:color w:val="005A96" w:themeColor="accent1"/>
        </w:rPr>
        <w:t xml:space="preserve"> to profile the deeper locations of the backfill to aid in interpretation of the deeper fill material from the MASW.</w:t>
      </w:r>
    </w:p>
    <w:p w14:paraId="66668EB8" w14:textId="77777777" w:rsidR="00F45C9D" w:rsidRDefault="00F45C9D" w:rsidP="00216FEE">
      <w:pPr>
        <w:numPr>
          <w:ilvl w:val="0"/>
          <w:numId w:val="19"/>
        </w:numPr>
        <w:spacing w:after="0"/>
        <w:rPr>
          <w:rFonts w:eastAsia="Times New Roman"/>
        </w:rPr>
      </w:pPr>
      <w:r>
        <w:rPr>
          <w:rFonts w:eastAsia="Times New Roman"/>
        </w:rPr>
        <w:t>4.4</w:t>
      </w:r>
      <w:r w:rsidR="00216FEE">
        <w:rPr>
          <w:rFonts w:eastAsia="Times New Roman"/>
        </w:rPr>
        <w:t xml:space="preserve"> Ground truth methods in this section include “direct push </w:t>
      </w:r>
      <w:r>
        <w:rPr>
          <w:rFonts w:eastAsia="Times New Roman"/>
        </w:rPr>
        <w:t xml:space="preserve">percussion rig”, i.e. Geoprobe. </w:t>
      </w:r>
      <w:r w:rsidR="00216FEE">
        <w:rPr>
          <w:rFonts w:eastAsia="Times New Roman"/>
        </w:rPr>
        <w:t xml:space="preserve"> We do not feel this is an appropriate device to effectively measure density/stiffness, as there is no quantitative test performed.  This method was not included in the ground truth methods listed in Section 3.0. </w:t>
      </w:r>
    </w:p>
    <w:p w14:paraId="0F630D55" w14:textId="459B3764" w:rsidR="00216FEE" w:rsidRPr="00F45C9D" w:rsidRDefault="00AE7419" w:rsidP="00F45C9D">
      <w:pPr>
        <w:numPr>
          <w:ilvl w:val="1"/>
          <w:numId w:val="19"/>
        </w:numPr>
        <w:spacing w:after="0"/>
        <w:rPr>
          <w:rFonts w:eastAsia="Times New Roman"/>
          <w:color w:val="005A96" w:themeColor="accent1"/>
        </w:rPr>
      </w:pPr>
      <w:r>
        <w:rPr>
          <w:rFonts w:eastAsia="Times New Roman"/>
          <w:i/>
          <w:color w:val="005A96" w:themeColor="accent1"/>
        </w:rPr>
        <w:t xml:space="preserve">{Section 3.5} </w:t>
      </w:r>
      <w:r w:rsidR="00216FEE" w:rsidRPr="00F45C9D">
        <w:rPr>
          <w:rFonts w:eastAsia="Times New Roman"/>
          <w:i/>
          <w:color w:val="005A96" w:themeColor="accent1"/>
        </w:rPr>
        <w:t>Our apology for any confusion,</w:t>
      </w:r>
      <w:r w:rsidR="00216FEE" w:rsidRPr="00F45C9D">
        <w:rPr>
          <w:rFonts w:eastAsia="Times New Roman"/>
          <w:color w:val="005A96" w:themeColor="accent1"/>
        </w:rPr>
        <w:t xml:space="preserve"> although </w:t>
      </w:r>
      <w:r w:rsidR="00216FEE" w:rsidRPr="00F45C9D">
        <w:rPr>
          <w:rFonts w:eastAsia="Times New Roman"/>
          <w:i/>
          <w:color w:val="005A96" w:themeColor="accent1"/>
        </w:rPr>
        <w:t xml:space="preserve">Geoprobe has a CPT direct push tool that can be used with a percussion rig, it is still a CPT direct push method. We have not yet identified a Geoprobe contractor with this capability so </w:t>
      </w:r>
      <w:r w:rsidR="00AD09DB">
        <w:rPr>
          <w:rFonts w:eastAsia="Times New Roman"/>
          <w:i/>
          <w:color w:val="005A96" w:themeColor="accent1"/>
        </w:rPr>
        <w:t>we have deleted references to Geoprobe from the current work plan.</w:t>
      </w:r>
      <w:r w:rsidR="00216FEE" w:rsidRPr="00F45C9D">
        <w:rPr>
          <w:rFonts w:eastAsia="Times New Roman"/>
          <w:i/>
          <w:color w:val="005A96" w:themeColor="accent1"/>
        </w:rPr>
        <w:t>.</w:t>
      </w:r>
    </w:p>
    <w:p w14:paraId="73327394" w14:textId="77777777" w:rsidR="00F45C9D" w:rsidRDefault="00F45C9D" w:rsidP="00216FEE">
      <w:pPr>
        <w:numPr>
          <w:ilvl w:val="0"/>
          <w:numId w:val="19"/>
        </w:numPr>
        <w:spacing w:after="0"/>
        <w:rPr>
          <w:rFonts w:eastAsia="Times New Roman"/>
        </w:rPr>
      </w:pPr>
      <w:r>
        <w:rPr>
          <w:rFonts w:eastAsia="Times New Roman"/>
        </w:rPr>
        <w:t>4.5</w:t>
      </w:r>
      <w:r w:rsidR="00216FEE">
        <w:rPr>
          <w:rFonts w:eastAsia="Times New Roman"/>
        </w:rPr>
        <w:t xml:space="preserve"> More detail needs to be provided on the conceptual mitigative alternatives.  CPT or Direct Push grouting is only for smaller, localized areas like voids.  Is pressure grouting being proposed </w:t>
      </w:r>
      <w:r>
        <w:rPr>
          <w:rFonts w:eastAsia="Times New Roman"/>
        </w:rPr>
        <w:t xml:space="preserve">to address larger loose zones? </w:t>
      </w:r>
    </w:p>
    <w:p w14:paraId="5F5F8A3D" w14:textId="6EA8C421" w:rsidR="00F45C9D" w:rsidRPr="00F45C9D" w:rsidRDefault="00AE7419" w:rsidP="00F45C9D">
      <w:pPr>
        <w:numPr>
          <w:ilvl w:val="1"/>
          <w:numId w:val="19"/>
        </w:numPr>
        <w:spacing w:after="0"/>
        <w:rPr>
          <w:rFonts w:eastAsia="Times New Roman"/>
          <w:color w:val="005A96" w:themeColor="accent1"/>
        </w:rPr>
      </w:pPr>
      <w:r>
        <w:rPr>
          <w:rFonts w:eastAsia="Times New Roman"/>
          <w:i/>
          <w:color w:val="005A96" w:themeColor="accent1"/>
        </w:rPr>
        <w:t xml:space="preserve">{Section 3.7} </w:t>
      </w:r>
      <w:r w:rsidR="00216FEE" w:rsidRPr="00F45C9D">
        <w:rPr>
          <w:rFonts w:eastAsia="Times New Roman"/>
          <w:i/>
          <w:color w:val="005A96" w:themeColor="accent1"/>
        </w:rPr>
        <w:t>These mitigation alternatives are conceptual at this stage because the MASW survey and ground truth step is needed to define the scope of the mitigation.  The plan indicates that in general</w:t>
      </w:r>
      <w:r w:rsidR="00F45C9D" w:rsidRPr="00F45C9D">
        <w:rPr>
          <w:rFonts w:eastAsia="Times New Roman"/>
          <w:i/>
          <w:color w:val="005A96" w:themeColor="accent1"/>
        </w:rPr>
        <w:t>,</w:t>
      </w:r>
      <w:r w:rsidR="00216FEE" w:rsidRPr="00F45C9D">
        <w:rPr>
          <w:rFonts w:eastAsia="Times New Roman"/>
          <w:i/>
          <w:color w:val="005A96" w:themeColor="accent1"/>
        </w:rPr>
        <w:t xml:space="preserve"> deeper and larger </w:t>
      </w:r>
      <w:r w:rsidR="00AD09DB">
        <w:rPr>
          <w:rFonts w:eastAsia="Times New Roman"/>
          <w:i/>
          <w:color w:val="005A96" w:themeColor="accent1"/>
        </w:rPr>
        <w:t xml:space="preserve">wide spread </w:t>
      </w:r>
      <w:r w:rsidR="00216FEE" w:rsidRPr="00F45C9D">
        <w:rPr>
          <w:rFonts w:eastAsia="Times New Roman"/>
          <w:i/>
          <w:color w:val="005A96" w:themeColor="accent1"/>
        </w:rPr>
        <w:t xml:space="preserve">areas would be more effectively mitigated via </w:t>
      </w:r>
      <w:r w:rsidR="00184A2F">
        <w:rPr>
          <w:rFonts w:eastAsia="Times New Roman"/>
          <w:i/>
          <w:color w:val="005A96" w:themeColor="accent1"/>
        </w:rPr>
        <w:t>grout injection</w:t>
      </w:r>
      <w:r w:rsidR="00216FEE" w:rsidRPr="00F45C9D">
        <w:rPr>
          <w:rFonts w:eastAsia="Times New Roman"/>
          <w:i/>
          <w:color w:val="005A96" w:themeColor="accent1"/>
        </w:rPr>
        <w:t xml:space="preserve">.   </w:t>
      </w:r>
      <w:r w:rsidR="00216FEE" w:rsidRPr="00F45C9D">
        <w:rPr>
          <w:rFonts w:eastAsia="Times New Roman"/>
          <w:color w:val="005A96" w:themeColor="accent1"/>
        </w:rPr>
        <w:t xml:space="preserve"> </w:t>
      </w:r>
    </w:p>
    <w:p w14:paraId="2C6A4BA2" w14:textId="1F22ADF7" w:rsidR="00F45C9D" w:rsidRPr="00F45C9D" w:rsidRDefault="00216FEE" w:rsidP="00F45C9D">
      <w:pPr>
        <w:numPr>
          <w:ilvl w:val="0"/>
          <w:numId w:val="19"/>
        </w:numPr>
        <w:spacing w:after="0"/>
        <w:rPr>
          <w:rFonts w:eastAsia="Times New Roman"/>
        </w:rPr>
      </w:pPr>
      <w:r>
        <w:rPr>
          <w:rFonts w:eastAsia="Times New Roman"/>
        </w:rPr>
        <w:t>The proposal does not address how existing facilities will be a</w:t>
      </w:r>
      <w:r w:rsidR="00F45C9D">
        <w:rPr>
          <w:rFonts w:eastAsia="Times New Roman"/>
        </w:rPr>
        <w:t>ffected/addressed (</w:t>
      </w:r>
      <w:r>
        <w:rPr>
          <w:rFonts w:eastAsia="Times New Roman"/>
        </w:rPr>
        <w:t>i.e. curbs, utilities, storm/san</w:t>
      </w:r>
      <w:r w:rsidR="00F45C9D">
        <w:rPr>
          <w:rFonts w:eastAsia="Times New Roman"/>
        </w:rPr>
        <w:t xml:space="preserve">itary sewers, water lines, etc.). </w:t>
      </w:r>
      <w:r>
        <w:rPr>
          <w:rFonts w:eastAsia="Times New Roman"/>
        </w:rPr>
        <w:t xml:space="preserve"> Vibratory compaction needs more explanation, as there are various methods, and some may not be applicable for this site.  Vibratory compaction may not be possible/effective for larger, deeper zones. </w:t>
      </w:r>
    </w:p>
    <w:p w14:paraId="66033351" w14:textId="22C95926" w:rsidR="00216FEE" w:rsidRPr="00F45C9D" w:rsidRDefault="00AE7419" w:rsidP="00F45C9D">
      <w:pPr>
        <w:numPr>
          <w:ilvl w:val="1"/>
          <w:numId w:val="19"/>
        </w:numPr>
        <w:spacing w:after="0"/>
        <w:rPr>
          <w:rFonts w:eastAsia="Times New Roman"/>
          <w:i/>
          <w:color w:val="005A96" w:themeColor="accent1"/>
        </w:rPr>
      </w:pPr>
      <w:r>
        <w:rPr>
          <w:rFonts w:eastAsia="Times New Roman"/>
          <w:i/>
          <w:color w:val="005A96" w:themeColor="accent1"/>
        </w:rPr>
        <w:t xml:space="preserve">{Section 5, assumption 18} Vibratory compaction </w:t>
      </w:r>
      <w:r w:rsidR="00B20404">
        <w:rPr>
          <w:rFonts w:eastAsia="Times New Roman"/>
          <w:i/>
          <w:color w:val="005A96" w:themeColor="accent1"/>
        </w:rPr>
        <w:t xml:space="preserve">was dropped from </w:t>
      </w:r>
      <w:r>
        <w:rPr>
          <w:rFonts w:eastAsia="Times New Roman"/>
          <w:i/>
          <w:color w:val="005A96" w:themeColor="accent1"/>
        </w:rPr>
        <w:t>the final work plan</w:t>
      </w:r>
      <w:r w:rsidR="00B20404">
        <w:rPr>
          <w:rFonts w:eastAsia="Times New Roman"/>
          <w:i/>
          <w:color w:val="005A96" w:themeColor="accent1"/>
        </w:rPr>
        <w:t xml:space="preserve"> based on comments for WisDOT and concerns about damaging the pipe</w:t>
      </w:r>
      <w:r w:rsidR="00216FEE" w:rsidRPr="00F45C9D">
        <w:rPr>
          <w:rFonts w:eastAsia="Times New Roman"/>
          <w:i/>
          <w:color w:val="005A96" w:themeColor="accent1"/>
        </w:rPr>
        <w:t>. We are not intending to mitigate any other utilities than the backfill above the storm sewer. However, any curbs or features that need to be removed will be replaced to their required conditions by IGE.</w:t>
      </w:r>
    </w:p>
    <w:p w14:paraId="23D4A888" w14:textId="77777777" w:rsidR="00216FEE" w:rsidRPr="00113CE2" w:rsidRDefault="00216FEE" w:rsidP="00F45C9D">
      <w:pPr>
        <w:numPr>
          <w:ilvl w:val="0"/>
          <w:numId w:val="19"/>
        </w:numPr>
        <w:spacing w:after="0"/>
        <w:rPr>
          <w:rFonts w:eastAsia="Times New Roman"/>
        </w:rPr>
      </w:pPr>
      <w:r w:rsidRPr="00113CE2">
        <w:rPr>
          <w:rFonts w:eastAsia="Times New Roman"/>
        </w:rPr>
        <w:t xml:space="preserve">MASW, SPT, and CPT data used to locate areas with issues all need clarification on what values are acceptable before remediation is necessary.  Each of these devices measure spectrums of stiffness/density, and there is no information provided on what ‘acceptable limits’ are.  For instance, are SPT values of 8 acceptable, or are minimum values of 14 required?  These criteria may also vary by soil type.  </w:t>
      </w:r>
    </w:p>
    <w:p w14:paraId="75FB908B" w14:textId="496B1270" w:rsidR="009C75E9" w:rsidRDefault="00AE7419" w:rsidP="002A7FFB">
      <w:pPr>
        <w:numPr>
          <w:ilvl w:val="1"/>
          <w:numId w:val="19"/>
        </w:numPr>
        <w:spacing w:after="0"/>
        <w:rPr>
          <w:rFonts w:eastAsia="Times New Roman"/>
          <w:i/>
          <w:color w:val="005A96" w:themeColor="accent1"/>
        </w:rPr>
      </w:pPr>
      <w:r>
        <w:rPr>
          <w:rFonts w:eastAsia="Times New Roman"/>
          <w:i/>
          <w:color w:val="005A96" w:themeColor="accent1"/>
        </w:rPr>
        <w:t xml:space="preserve">{Section </w:t>
      </w:r>
      <w:r w:rsidR="00B77C6A">
        <w:rPr>
          <w:rFonts w:eastAsia="Times New Roman"/>
          <w:i/>
          <w:color w:val="005A96" w:themeColor="accent1"/>
        </w:rPr>
        <w:t>1.1</w:t>
      </w:r>
      <w:r w:rsidR="009C75E9">
        <w:rPr>
          <w:rFonts w:eastAsia="Times New Roman"/>
          <w:i/>
          <w:color w:val="005A96" w:themeColor="accent1"/>
        </w:rPr>
        <w:t xml:space="preserve">, </w:t>
      </w:r>
      <w:r w:rsidR="00B77C6A">
        <w:rPr>
          <w:rFonts w:eastAsia="Times New Roman"/>
          <w:i/>
          <w:color w:val="005A96" w:themeColor="accent1"/>
        </w:rPr>
        <w:t>2.3</w:t>
      </w:r>
      <w:r w:rsidR="009C75E9">
        <w:rPr>
          <w:rFonts w:eastAsia="Times New Roman"/>
          <w:i/>
          <w:color w:val="005A96" w:themeColor="accent1"/>
        </w:rPr>
        <w:t>, and 3.6}</w:t>
      </w:r>
      <w:r>
        <w:rPr>
          <w:rFonts w:eastAsia="Times New Roman"/>
          <w:i/>
          <w:color w:val="005A96" w:themeColor="accent1"/>
        </w:rPr>
        <w:t xml:space="preserve">} </w:t>
      </w:r>
      <w:r w:rsidR="00B77C6A">
        <w:rPr>
          <w:rFonts w:eastAsia="Times New Roman"/>
          <w:i/>
          <w:color w:val="005A96" w:themeColor="accent1"/>
        </w:rPr>
        <w:t xml:space="preserve">We have clarified our purpose and conceptual site model to more clearly define the objective of the investigation is </w:t>
      </w:r>
      <w:r w:rsidR="00AD09DB">
        <w:rPr>
          <w:rFonts w:eastAsia="Times New Roman"/>
          <w:i/>
          <w:color w:val="005A96" w:themeColor="accent1"/>
        </w:rPr>
        <w:t xml:space="preserve">mitigate areas of loose soils potentially associated with </w:t>
      </w:r>
      <w:r w:rsidR="00B77C6A">
        <w:rPr>
          <w:rFonts w:eastAsia="Times New Roman"/>
          <w:i/>
          <w:color w:val="005A96" w:themeColor="accent1"/>
        </w:rPr>
        <w:t xml:space="preserve">future subsidence features; the goal is not to bring the entire backfill up to an arbitrary </w:t>
      </w:r>
      <w:r w:rsidR="00AD09DB">
        <w:rPr>
          <w:rFonts w:eastAsia="Times New Roman"/>
          <w:i/>
          <w:color w:val="005A96" w:themeColor="accent1"/>
        </w:rPr>
        <w:t xml:space="preserve">density or compaction </w:t>
      </w:r>
      <w:r w:rsidR="00B77C6A">
        <w:rPr>
          <w:rFonts w:eastAsia="Times New Roman"/>
          <w:i/>
          <w:color w:val="005A96" w:themeColor="accent1"/>
        </w:rPr>
        <w:t xml:space="preserve">threshold.  Based on our conceptual model, the subsidence features are related to downward settlement of overlying soil into the loose zones.  </w:t>
      </w:r>
      <w:r w:rsidR="00001765">
        <w:rPr>
          <w:rFonts w:eastAsia="Times New Roman"/>
          <w:i/>
          <w:color w:val="005A96" w:themeColor="accent1"/>
        </w:rPr>
        <w:t xml:space="preserve">In shallow areas where we will have an excavation and can recompact in lifts, we will </w:t>
      </w:r>
      <w:r w:rsidR="00AD09DB">
        <w:rPr>
          <w:rFonts w:eastAsia="Times New Roman"/>
          <w:i/>
          <w:color w:val="005A96" w:themeColor="accent1"/>
        </w:rPr>
        <w:t>meet compaction</w:t>
      </w:r>
      <w:r w:rsidR="00001765">
        <w:rPr>
          <w:rFonts w:eastAsia="Times New Roman"/>
          <w:i/>
          <w:color w:val="005A96" w:themeColor="accent1"/>
        </w:rPr>
        <w:t xml:space="preserve"> of </w:t>
      </w:r>
      <w:r w:rsidR="00B77C6A">
        <w:rPr>
          <w:rFonts w:eastAsia="Times New Roman"/>
          <w:i/>
          <w:color w:val="005A96" w:themeColor="accent1"/>
        </w:rPr>
        <w:t xml:space="preserve">90% </w:t>
      </w:r>
      <w:r w:rsidR="009C75E9">
        <w:rPr>
          <w:rFonts w:eastAsia="Times New Roman"/>
          <w:i/>
          <w:color w:val="005A96" w:themeColor="accent1"/>
        </w:rPr>
        <w:t xml:space="preserve">(95% in top three feet) </w:t>
      </w:r>
      <w:r w:rsidR="00B77C6A">
        <w:rPr>
          <w:rFonts w:eastAsia="Times New Roman"/>
          <w:i/>
          <w:color w:val="005A96" w:themeColor="accent1"/>
        </w:rPr>
        <w:t xml:space="preserve">standard proctor density.  </w:t>
      </w:r>
    </w:p>
    <w:p w14:paraId="4F7208F0" w14:textId="1E55B036" w:rsidR="00E964A8" w:rsidRDefault="00B77C6A" w:rsidP="002A7FFB">
      <w:pPr>
        <w:numPr>
          <w:ilvl w:val="1"/>
          <w:numId w:val="19"/>
        </w:numPr>
        <w:spacing w:after="0"/>
        <w:rPr>
          <w:rFonts w:eastAsia="Times New Roman"/>
          <w:i/>
          <w:color w:val="005A96" w:themeColor="accent1"/>
        </w:rPr>
      </w:pPr>
      <w:r>
        <w:rPr>
          <w:rFonts w:eastAsia="Times New Roman"/>
          <w:i/>
          <w:color w:val="005A96" w:themeColor="accent1"/>
        </w:rPr>
        <w:t xml:space="preserve">For compaction </w:t>
      </w:r>
      <w:r w:rsidR="009C75E9">
        <w:rPr>
          <w:rFonts w:eastAsia="Times New Roman"/>
          <w:i/>
          <w:color w:val="005A96" w:themeColor="accent1"/>
        </w:rPr>
        <w:t xml:space="preserve">pressure </w:t>
      </w:r>
      <w:r>
        <w:rPr>
          <w:rFonts w:eastAsia="Times New Roman"/>
          <w:i/>
          <w:color w:val="005A96" w:themeColor="accent1"/>
        </w:rPr>
        <w:t>grouting</w:t>
      </w:r>
      <w:r w:rsidR="009C75E9">
        <w:rPr>
          <w:rFonts w:eastAsia="Times New Roman"/>
          <w:i/>
          <w:color w:val="005A96" w:themeColor="accent1"/>
        </w:rPr>
        <w:t xml:space="preserve"> performed at depths below 3-7 feet,</w:t>
      </w:r>
      <w:r>
        <w:rPr>
          <w:rFonts w:eastAsia="Times New Roman"/>
          <w:i/>
          <w:color w:val="005A96" w:themeColor="accent1"/>
        </w:rPr>
        <w:t xml:space="preserve"> we will be injecting grout into loose zones so that deformation and down</w:t>
      </w:r>
      <w:r w:rsidR="009C75E9">
        <w:rPr>
          <w:rFonts w:eastAsia="Times New Roman"/>
          <w:i/>
          <w:color w:val="005A96" w:themeColor="accent1"/>
        </w:rPr>
        <w:t xml:space="preserve">ward </w:t>
      </w:r>
      <w:r>
        <w:rPr>
          <w:rFonts w:eastAsia="Times New Roman"/>
          <w:i/>
          <w:color w:val="005A96" w:themeColor="accent1"/>
        </w:rPr>
        <w:t xml:space="preserve">settlement cannot occur.  </w:t>
      </w:r>
      <w:r w:rsidR="001E0CEF">
        <w:rPr>
          <w:rFonts w:eastAsia="Times New Roman"/>
          <w:i/>
          <w:color w:val="005A96" w:themeColor="accent1"/>
        </w:rPr>
        <w:t>I</w:t>
      </w:r>
      <w:r w:rsidR="00E964A8">
        <w:rPr>
          <w:rFonts w:eastAsia="Times New Roman"/>
          <w:i/>
          <w:color w:val="005A96" w:themeColor="accent1"/>
        </w:rPr>
        <w:t xml:space="preserve">n these areas, the </w:t>
      </w:r>
      <w:r w:rsidR="00AD09DB">
        <w:rPr>
          <w:rFonts w:eastAsia="Times New Roman"/>
          <w:i/>
          <w:color w:val="005A96" w:themeColor="accent1"/>
        </w:rPr>
        <w:t xml:space="preserve">key threshold is </w:t>
      </w:r>
      <w:r w:rsidR="00E964A8">
        <w:rPr>
          <w:rFonts w:eastAsia="Times New Roman"/>
          <w:i/>
          <w:color w:val="005A96" w:themeColor="accent1"/>
        </w:rPr>
        <w:t xml:space="preserve">related to the volume of grout that </w:t>
      </w:r>
      <w:r w:rsidR="001E0CEF">
        <w:rPr>
          <w:rFonts w:eastAsia="Times New Roman"/>
          <w:i/>
          <w:color w:val="005A96" w:themeColor="accent1"/>
        </w:rPr>
        <w:t xml:space="preserve">the loose zone is able to take in.  This will eliminate the potential for </w:t>
      </w:r>
      <w:r w:rsidR="00001765">
        <w:rPr>
          <w:rFonts w:eastAsia="Times New Roman"/>
          <w:i/>
          <w:color w:val="005A96" w:themeColor="accent1"/>
        </w:rPr>
        <w:t>this zone to settle because the available pore space</w:t>
      </w:r>
      <w:r w:rsidR="00AD09DB">
        <w:rPr>
          <w:rFonts w:eastAsia="Times New Roman"/>
          <w:i/>
          <w:color w:val="005A96" w:themeColor="accent1"/>
        </w:rPr>
        <w:t xml:space="preserve"> and deformable material will be compressed and</w:t>
      </w:r>
      <w:r w:rsidR="00001765">
        <w:rPr>
          <w:rFonts w:eastAsia="Times New Roman"/>
          <w:i/>
          <w:color w:val="005A96" w:themeColor="accent1"/>
        </w:rPr>
        <w:t xml:space="preserve"> occupied by </w:t>
      </w:r>
      <w:r w:rsidR="00AD09DB">
        <w:rPr>
          <w:rFonts w:eastAsia="Times New Roman"/>
          <w:i/>
          <w:color w:val="005A96" w:themeColor="accent1"/>
        </w:rPr>
        <w:t xml:space="preserve">the </w:t>
      </w:r>
      <w:r w:rsidR="00001765">
        <w:rPr>
          <w:rFonts w:eastAsia="Times New Roman"/>
          <w:i/>
          <w:color w:val="005A96" w:themeColor="accent1"/>
        </w:rPr>
        <w:t>grout</w:t>
      </w:r>
      <w:r w:rsidR="00AD09DB">
        <w:rPr>
          <w:rFonts w:eastAsia="Times New Roman"/>
          <w:i/>
          <w:color w:val="005A96" w:themeColor="accent1"/>
        </w:rPr>
        <w:t xml:space="preserve"> mixture</w:t>
      </w:r>
      <w:r w:rsidR="00001765">
        <w:rPr>
          <w:rFonts w:eastAsia="Times New Roman"/>
          <w:i/>
          <w:color w:val="005A96" w:themeColor="accent1"/>
        </w:rPr>
        <w:t xml:space="preserve">.  </w:t>
      </w:r>
      <w:r w:rsidR="00E964A8">
        <w:rPr>
          <w:rFonts w:eastAsia="Times New Roman"/>
          <w:i/>
          <w:color w:val="005A96" w:themeColor="accent1"/>
        </w:rPr>
        <w:t xml:space="preserve">This process may require iterative trials and generally good engineering practice </w:t>
      </w:r>
      <w:r w:rsidR="00001765">
        <w:rPr>
          <w:rFonts w:eastAsia="Times New Roman"/>
          <w:i/>
          <w:color w:val="005A96" w:themeColor="accent1"/>
        </w:rPr>
        <w:t>to evaluate field conditions</w:t>
      </w:r>
      <w:r w:rsidR="00AD09DB">
        <w:rPr>
          <w:rFonts w:eastAsia="Times New Roman"/>
          <w:i/>
          <w:color w:val="005A96" w:themeColor="accent1"/>
        </w:rPr>
        <w:t xml:space="preserve"> and make corrections. The process will be documented in the final mitigation report along with challenges encountered and </w:t>
      </w:r>
      <w:r w:rsidR="00626DBF">
        <w:rPr>
          <w:rFonts w:eastAsia="Times New Roman"/>
          <w:i/>
          <w:color w:val="005A96" w:themeColor="accent1"/>
        </w:rPr>
        <w:t>results of</w:t>
      </w:r>
      <w:r w:rsidR="00AD09DB">
        <w:rPr>
          <w:rFonts w:eastAsia="Times New Roman"/>
          <w:i/>
          <w:color w:val="005A96" w:themeColor="accent1"/>
        </w:rPr>
        <w:t xml:space="preserve"> follow up monitoring </w:t>
      </w:r>
      <w:r w:rsidR="00626DBF">
        <w:rPr>
          <w:rFonts w:eastAsia="Times New Roman"/>
          <w:i/>
          <w:color w:val="005A96" w:themeColor="accent1"/>
        </w:rPr>
        <w:t xml:space="preserve">and additional mitigation if required. </w:t>
      </w:r>
      <w:r w:rsidR="00E964A8">
        <w:rPr>
          <w:rFonts w:eastAsia="Times New Roman"/>
          <w:i/>
          <w:color w:val="005A96" w:themeColor="accent1"/>
        </w:rPr>
        <w:t xml:space="preserve"> </w:t>
      </w:r>
    </w:p>
    <w:p w14:paraId="6FDFE902" w14:textId="23B8C627" w:rsidR="00001765" w:rsidRPr="001E0CEF" w:rsidRDefault="00001765" w:rsidP="00001765">
      <w:pPr>
        <w:numPr>
          <w:ilvl w:val="1"/>
          <w:numId w:val="19"/>
        </w:numPr>
        <w:spacing w:after="0"/>
        <w:rPr>
          <w:rFonts w:eastAsia="Times New Roman"/>
          <w:i/>
          <w:color w:val="005A96" w:themeColor="accent1"/>
        </w:rPr>
      </w:pPr>
      <w:r w:rsidRPr="001E0CEF">
        <w:rPr>
          <w:rFonts w:eastAsia="Times New Roman"/>
          <w:i/>
          <w:color w:val="005A96" w:themeColor="accent1"/>
        </w:rPr>
        <w:t xml:space="preserve">Performance standard.  </w:t>
      </w:r>
      <w:r w:rsidR="00626DBF">
        <w:rPr>
          <w:rFonts w:eastAsia="Times New Roman"/>
          <w:i/>
          <w:color w:val="005A96" w:themeColor="accent1"/>
        </w:rPr>
        <w:t>T</w:t>
      </w:r>
      <w:r w:rsidRPr="001E0CEF">
        <w:rPr>
          <w:rFonts w:eastAsia="Times New Roman"/>
          <w:i/>
          <w:color w:val="005A96" w:themeColor="accent1"/>
        </w:rPr>
        <w:t>he confirmatory MASW survey, the addition of 4 month</w:t>
      </w:r>
      <w:r>
        <w:rPr>
          <w:rFonts w:eastAsia="Times New Roman"/>
          <w:i/>
          <w:color w:val="005A96" w:themeColor="accent1"/>
        </w:rPr>
        <w:t xml:space="preserve"> follow-up</w:t>
      </w:r>
      <w:r w:rsidRPr="001E0CEF">
        <w:rPr>
          <w:rFonts w:eastAsia="Times New Roman"/>
          <w:i/>
          <w:color w:val="005A96" w:themeColor="accent1"/>
        </w:rPr>
        <w:t xml:space="preserve"> survey</w:t>
      </w:r>
      <w:r>
        <w:rPr>
          <w:rFonts w:eastAsia="Times New Roman"/>
          <w:i/>
          <w:color w:val="005A96" w:themeColor="accent1"/>
        </w:rPr>
        <w:t>,</w:t>
      </w:r>
      <w:r w:rsidRPr="001E0CEF">
        <w:rPr>
          <w:rFonts w:eastAsia="Times New Roman"/>
          <w:i/>
          <w:color w:val="005A96" w:themeColor="accent1"/>
        </w:rPr>
        <w:t xml:space="preserve"> and an annual monitoring survey (with CPT data collection) should provide a high degree of confidence that </w:t>
      </w:r>
      <w:r>
        <w:rPr>
          <w:rFonts w:eastAsia="Times New Roman"/>
          <w:i/>
          <w:color w:val="005A96" w:themeColor="accent1"/>
        </w:rPr>
        <w:t xml:space="preserve">potential </w:t>
      </w:r>
      <w:r w:rsidRPr="001E0CEF">
        <w:rPr>
          <w:rFonts w:eastAsia="Times New Roman"/>
          <w:i/>
          <w:color w:val="005A96" w:themeColor="accent1"/>
        </w:rPr>
        <w:t>subsidence features</w:t>
      </w:r>
      <w:r>
        <w:rPr>
          <w:rFonts w:eastAsia="Times New Roman"/>
          <w:i/>
          <w:color w:val="005A96" w:themeColor="accent1"/>
        </w:rPr>
        <w:t xml:space="preserve"> related to loose soils</w:t>
      </w:r>
      <w:r w:rsidRPr="001E0CEF">
        <w:rPr>
          <w:rFonts w:eastAsia="Times New Roman"/>
          <w:i/>
          <w:color w:val="005A96" w:themeColor="accent1"/>
        </w:rPr>
        <w:t xml:space="preserve"> will be identified and corrected.  These added tasks obviate the need for arbitrary threshold values because the monitoring and any follow up mitigation becomes what is essentially a</w:t>
      </w:r>
      <w:r>
        <w:rPr>
          <w:rFonts w:eastAsia="Times New Roman"/>
          <w:i/>
          <w:color w:val="005A96" w:themeColor="accent1"/>
        </w:rPr>
        <w:t xml:space="preserve">n outcome-based </w:t>
      </w:r>
      <w:r w:rsidRPr="001E0CEF">
        <w:rPr>
          <w:rFonts w:eastAsia="Times New Roman"/>
          <w:i/>
          <w:color w:val="005A96" w:themeColor="accent1"/>
        </w:rPr>
        <w:t>performance standard.</w:t>
      </w:r>
    </w:p>
    <w:p w14:paraId="3C0920C5" w14:textId="2CE59B94" w:rsidR="00E964A8" w:rsidRDefault="00E964A8" w:rsidP="002A7FFB">
      <w:pPr>
        <w:numPr>
          <w:ilvl w:val="1"/>
          <w:numId w:val="19"/>
        </w:numPr>
        <w:spacing w:after="0"/>
        <w:rPr>
          <w:rFonts w:eastAsia="Times New Roman"/>
          <w:i/>
          <w:color w:val="005A96" w:themeColor="accent1"/>
        </w:rPr>
      </w:pPr>
      <w:r>
        <w:rPr>
          <w:rFonts w:eastAsia="Times New Roman"/>
          <w:i/>
          <w:color w:val="005A96" w:themeColor="accent1"/>
        </w:rPr>
        <w:t>We have evaluated looking at blow counts or apparent density from CPT but o</w:t>
      </w:r>
      <w:r w:rsidR="00216FEE" w:rsidRPr="00597B2E">
        <w:rPr>
          <w:rFonts w:eastAsia="Times New Roman"/>
          <w:i/>
          <w:color w:val="005A96" w:themeColor="accent1"/>
        </w:rPr>
        <w:t>ur previous investigation</w:t>
      </w:r>
      <w:r>
        <w:rPr>
          <w:rFonts w:eastAsia="Times New Roman"/>
          <w:i/>
          <w:color w:val="005A96" w:themeColor="accent1"/>
        </w:rPr>
        <w:t>s</w:t>
      </w:r>
      <w:r w:rsidR="00216FEE" w:rsidRPr="00597B2E">
        <w:rPr>
          <w:rFonts w:eastAsia="Times New Roman"/>
          <w:i/>
          <w:color w:val="005A96" w:themeColor="accent1"/>
        </w:rPr>
        <w:t xml:space="preserve"> indicated that the subsidence features were not well correlated with blow count data (i.e. high blow count</w:t>
      </w:r>
      <w:r w:rsidR="00597B2E">
        <w:rPr>
          <w:rFonts w:eastAsia="Times New Roman"/>
          <w:i/>
          <w:color w:val="005A96" w:themeColor="accent1"/>
        </w:rPr>
        <w:t xml:space="preserve"> n-values</w:t>
      </w:r>
      <w:r w:rsidR="00216FEE" w:rsidRPr="00597B2E">
        <w:rPr>
          <w:rFonts w:eastAsia="Times New Roman"/>
          <w:i/>
          <w:color w:val="005A96" w:themeColor="accent1"/>
        </w:rPr>
        <w:t xml:space="preserve"> were found under subsidence features and low </w:t>
      </w:r>
      <w:r w:rsidR="00597B2E">
        <w:rPr>
          <w:rFonts w:eastAsia="Times New Roman"/>
          <w:i/>
          <w:color w:val="005A96" w:themeColor="accent1"/>
        </w:rPr>
        <w:t>n-values</w:t>
      </w:r>
      <w:r w:rsidR="00216FEE" w:rsidRPr="00597B2E">
        <w:rPr>
          <w:rFonts w:eastAsia="Times New Roman"/>
          <w:i/>
          <w:color w:val="005A96" w:themeColor="accent1"/>
        </w:rPr>
        <w:t xml:space="preserve"> found in areas with no subsidence). </w:t>
      </w:r>
      <w:r>
        <w:rPr>
          <w:rFonts w:eastAsia="Times New Roman"/>
          <w:i/>
          <w:color w:val="005A96" w:themeColor="accent1"/>
        </w:rPr>
        <w:t xml:space="preserve">This suggests that the backfill is likely to </w:t>
      </w:r>
      <w:r w:rsidR="001E0CEF">
        <w:rPr>
          <w:rFonts w:eastAsia="Times New Roman"/>
          <w:i/>
          <w:color w:val="005A96" w:themeColor="accent1"/>
        </w:rPr>
        <w:t xml:space="preserve">exhibit variability that may not be directly reflected in </w:t>
      </w:r>
      <w:r>
        <w:rPr>
          <w:rFonts w:eastAsia="Times New Roman"/>
          <w:i/>
          <w:color w:val="005A96" w:themeColor="accent1"/>
        </w:rPr>
        <w:t>an arbitrary threshold value</w:t>
      </w:r>
      <w:r w:rsidR="001E0CEF">
        <w:rPr>
          <w:rFonts w:eastAsia="Times New Roman"/>
          <w:i/>
          <w:color w:val="005A96" w:themeColor="accent1"/>
        </w:rPr>
        <w:t xml:space="preserve">, and </w:t>
      </w:r>
      <w:r>
        <w:rPr>
          <w:rFonts w:eastAsia="Times New Roman"/>
          <w:i/>
          <w:color w:val="005A96" w:themeColor="accent1"/>
        </w:rPr>
        <w:t xml:space="preserve">would not be helpful in achieving the goal of limiting the formation of future subsidence features. </w:t>
      </w:r>
    </w:p>
    <w:p w14:paraId="26E276A1" w14:textId="77777777" w:rsidR="002A7FFB" w:rsidRPr="002A7FFB" w:rsidRDefault="00216FEE" w:rsidP="002A7FFB">
      <w:pPr>
        <w:numPr>
          <w:ilvl w:val="0"/>
          <w:numId w:val="19"/>
        </w:numPr>
        <w:spacing w:after="0"/>
        <w:rPr>
          <w:rFonts w:eastAsia="Times New Roman"/>
        </w:rPr>
      </w:pPr>
      <w:r w:rsidRPr="006D3DB1">
        <w:rPr>
          <w:rFonts w:eastAsia="Times New Roman"/>
        </w:rPr>
        <w:t>These decision points/values (required for each method) will greatly affect the amount of remediation work warranted.  These decisions are also necessary to be able to analyze the confirmatory geophysical work.</w:t>
      </w:r>
      <w:r w:rsidRPr="002A7FFB">
        <w:rPr>
          <w:rFonts w:eastAsia="Times New Roman"/>
        </w:rPr>
        <w:t xml:space="preserve"> These decision points/values (required for each method) will greatly affect the amount of remediation work warranted.  These decisions are also necessary to be able to analyze the confirmatory geophysical work. </w:t>
      </w:r>
    </w:p>
    <w:p w14:paraId="305237C8" w14:textId="02968AF5" w:rsidR="00216FEE" w:rsidRPr="002A7FFB" w:rsidRDefault="0058425F" w:rsidP="002A7FFB">
      <w:pPr>
        <w:numPr>
          <w:ilvl w:val="1"/>
          <w:numId w:val="19"/>
        </w:numPr>
        <w:spacing w:after="0"/>
        <w:rPr>
          <w:rFonts w:eastAsia="Times New Roman"/>
          <w:i/>
          <w:color w:val="005A96" w:themeColor="accent1"/>
        </w:rPr>
      </w:pPr>
      <w:r>
        <w:rPr>
          <w:rFonts w:eastAsia="Times New Roman"/>
          <w:i/>
          <w:color w:val="005A96" w:themeColor="accent1"/>
        </w:rPr>
        <w:t xml:space="preserve">{Section 3.6} </w:t>
      </w:r>
      <w:r w:rsidR="00BE28EB">
        <w:rPr>
          <w:rFonts w:eastAsia="Times New Roman"/>
          <w:i/>
          <w:color w:val="005A96" w:themeColor="accent1"/>
        </w:rPr>
        <w:t xml:space="preserve">Upon review of the procedures and the additional monitoring proposed we do not believe that the paradigm described will apply to the reclamation work.  Our proposal is to mitigate loose soils wherever they occur </w:t>
      </w:r>
      <w:r w:rsidR="00626DBF">
        <w:rPr>
          <w:rFonts w:eastAsia="Times New Roman"/>
          <w:i/>
          <w:color w:val="005A96" w:themeColor="accent1"/>
        </w:rPr>
        <w:t xml:space="preserve">in the backfill </w:t>
      </w:r>
      <w:r w:rsidR="00BE28EB">
        <w:rPr>
          <w:rFonts w:eastAsia="Times New Roman"/>
          <w:i/>
          <w:color w:val="005A96" w:themeColor="accent1"/>
        </w:rPr>
        <w:t xml:space="preserve">above pipe.  We will have indirect and direct data to determine where these areas are and will have sufficient post-mitigation monitoring to assess the performance of the mitigation.  </w:t>
      </w:r>
      <w:r w:rsidR="00216FEE" w:rsidRPr="002A7FFB">
        <w:rPr>
          <w:rFonts w:eastAsia="Times New Roman"/>
          <w:i/>
          <w:color w:val="005A96" w:themeColor="accent1"/>
        </w:rPr>
        <w:t xml:space="preserve">Because the basis for what does and does not require mitigation will be based on the geophysical data and ground-truth steps, specific quantitative thresholds </w:t>
      </w:r>
      <w:r w:rsidR="001E0CEF">
        <w:rPr>
          <w:rFonts w:eastAsia="Times New Roman"/>
          <w:i/>
          <w:color w:val="005A96" w:themeColor="accent1"/>
        </w:rPr>
        <w:t>may not</w:t>
      </w:r>
      <w:r w:rsidR="00216FEE" w:rsidRPr="002A7FFB">
        <w:rPr>
          <w:rFonts w:eastAsia="Times New Roman"/>
          <w:i/>
          <w:color w:val="005A96" w:themeColor="accent1"/>
        </w:rPr>
        <w:t xml:space="preserve"> be </w:t>
      </w:r>
      <w:r w:rsidR="00BE28EB">
        <w:rPr>
          <w:rFonts w:eastAsia="Times New Roman"/>
          <w:i/>
          <w:color w:val="005A96" w:themeColor="accent1"/>
        </w:rPr>
        <w:t>useful or achieve better outcomes</w:t>
      </w:r>
      <w:r w:rsidR="00AD09DB">
        <w:rPr>
          <w:rFonts w:eastAsia="Times New Roman"/>
          <w:i/>
          <w:color w:val="005A96" w:themeColor="accent1"/>
        </w:rPr>
        <w:t>.</w:t>
      </w:r>
      <w:r w:rsidR="00001765">
        <w:rPr>
          <w:rFonts w:eastAsia="Times New Roman"/>
          <w:i/>
          <w:color w:val="005A96" w:themeColor="accent1"/>
        </w:rPr>
        <w:t xml:space="preserve">  </w:t>
      </w:r>
      <w:r w:rsidR="00216FEE" w:rsidRPr="002A7FFB">
        <w:rPr>
          <w:rFonts w:eastAsia="Times New Roman"/>
          <w:i/>
          <w:color w:val="005A96" w:themeColor="accent1"/>
        </w:rPr>
        <w:t xml:space="preserve"> </w:t>
      </w:r>
    </w:p>
    <w:p w14:paraId="5CFF978B" w14:textId="77777777" w:rsidR="002A7FFB" w:rsidRDefault="002A7FFB" w:rsidP="00216FEE">
      <w:pPr>
        <w:numPr>
          <w:ilvl w:val="0"/>
          <w:numId w:val="19"/>
        </w:numPr>
        <w:spacing w:after="0"/>
        <w:rPr>
          <w:rFonts w:eastAsia="Times New Roman"/>
        </w:rPr>
      </w:pPr>
      <w:r>
        <w:rPr>
          <w:rFonts w:eastAsia="Times New Roman"/>
        </w:rPr>
        <w:t>6.0</w:t>
      </w:r>
      <w:r w:rsidR="00216FEE" w:rsidRPr="0010701C">
        <w:rPr>
          <w:rFonts w:eastAsia="Times New Roman"/>
        </w:rPr>
        <w:t xml:space="preserve"> Geoprobe use is again suggested.  This does not appear to be a useful device for this work. (Unless only used for grouting.) </w:t>
      </w:r>
    </w:p>
    <w:p w14:paraId="5D32CD58" w14:textId="2BDCCDCD" w:rsidR="00216FEE" w:rsidRPr="002A7FFB" w:rsidRDefault="0058425F" w:rsidP="002A7FFB">
      <w:pPr>
        <w:numPr>
          <w:ilvl w:val="1"/>
          <w:numId w:val="19"/>
        </w:numPr>
        <w:spacing w:after="0"/>
        <w:rPr>
          <w:rFonts w:eastAsia="Times New Roman"/>
          <w:i/>
          <w:color w:val="005A96" w:themeColor="accent1"/>
        </w:rPr>
      </w:pPr>
      <w:r>
        <w:rPr>
          <w:rFonts w:eastAsia="Times New Roman"/>
          <w:i/>
          <w:color w:val="005A96" w:themeColor="accent1"/>
        </w:rPr>
        <w:t xml:space="preserve">{Section 2.4.2} CPT will be used and “direct push” alone will not be used to test soil density. </w:t>
      </w:r>
      <w:r w:rsidR="00216FEE" w:rsidRPr="002A7FFB">
        <w:rPr>
          <w:rFonts w:eastAsia="Times New Roman"/>
          <w:i/>
          <w:color w:val="005A96" w:themeColor="accent1"/>
        </w:rPr>
        <w:t xml:space="preserve">As above, Geoprobe does have a CPT tool although it may be unlikely that Geoprobe will be useful </w:t>
      </w:r>
      <w:r w:rsidR="005326F4">
        <w:rPr>
          <w:rFonts w:eastAsia="Times New Roman"/>
          <w:i/>
          <w:color w:val="005A96" w:themeColor="accent1"/>
        </w:rPr>
        <w:t xml:space="preserve">when </w:t>
      </w:r>
      <w:r w:rsidR="00216FEE" w:rsidRPr="002A7FFB">
        <w:rPr>
          <w:rFonts w:eastAsia="Times New Roman"/>
          <w:i/>
          <w:color w:val="005A96" w:themeColor="accent1"/>
        </w:rPr>
        <w:t>deep frozen soil conditions</w:t>
      </w:r>
      <w:r w:rsidR="005326F4">
        <w:rPr>
          <w:rFonts w:eastAsia="Times New Roman"/>
          <w:i/>
          <w:color w:val="005A96" w:themeColor="accent1"/>
        </w:rPr>
        <w:t xml:space="preserve"> are present.</w:t>
      </w:r>
    </w:p>
    <w:p w14:paraId="15D81EB4" w14:textId="77777777" w:rsidR="002A7FFB" w:rsidRPr="00597B2E" w:rsidRDefault="002A7FFB" w:rsidP="00216FEE">
      <w:pPr>
        <w:numPr>
          <w:ilvl w:val="0"/>
          <w:numId w:val="19"/>
        </w:numPr>
        <w:spacing w:after="0"/>
        <w:rPr>
          <w:rFonts w:eastAsia="Times New Roman"/>
          <w:i/>
        </w:rPr>
      </w:pPr>
      <w:r w:rsidRPr="00597B2E">
        <w:rPr>
          <w:rFonts w:eastAsia="Times New Roman"/>
        </w:rPr>
        <w:t>7.0</w:t>
      </w:r>
      <w:r w:rsidR="00216FEE" w:rsidRPr="00597B2E">
        <w:rPr>
          <w:rFonts w:eastAsia="Times New Roman"/>
        </w:rPr>
        <w:t xml:space="preserve"> Bullet 1.  It is our understanding the pipe remediation plan also calls for haunch improvements between pipe joints.  This contradicts what is written. </w:t>
      </w:r>
    </w:p>
    <w:p w14:paraId="00FC9312" w14:textId="6BA317A1" w:rsidR="00216FEE" w:rsidRPr="002A7FFB" w:rsidRDefault="0058425F" w:rsidP="002A7FFB">
      <w:pPr>
        <w:numPr>
          <w:ilvl w:val="1"/>
          <w:numId w:val="19"/>
        </w:numPr>
        <w:spacing w:after="0"/>
        <w:rPr>
          <w:rFonts w:eastAsia="Times New Roman"/>
          <w:i/>
          <w:color w:val="005A96" w:themeColor="accent1"/>
        </w:rPr>
      </w:pPr>
      <w:r>
        <w:rPr>
          <w:rFonts w:eastAsia="Times New Roman"/>
          <w:i/>
          <w:color w:val="005A96" w:themeColor="accent1"/>
        </w:rPr>
        <w:t xml:space="preserve">{Section 5, assumption 3} </w:t>
      </w:r>
      <w:r w:rsidR="00216FEE" w:rsidRPr="002A7FFB">
        <w:rPr>
          <w:rFonts w:eastAsia="Times New Roman"/>
          <w:i/>
          <w:color w:val="005A96" w:themeColor="accent1"/>
        </w:rPr>
        <w:t>The scope of work presented is for backfill above the storm sewer pipe; if there are apparent contradictions with other plans, we would need to understand the specific elements of those plans that are at issue in order to address this concern.</w:t>
      </w:r>
      <w:r w:rsidR="00BE28EB">
        <w:rPr>
          <w:rFonts w:eastAsia="Times New Roman"/>
          <w:i/>
          <w:color w:val="005A96" w:themeColor="accent1"/>
        </w:rPr>
        <w:t xml:space="preserve"> After listening carefully to the proposed pipe mitigation plans, we are confident that there are no conflicts.</w:t>
      </w:r>
    </w:p>
    <w:p w14:paraId="4083CB74" w14:textId="77777777" w:rsidR="002A7FFB" w:rsidRPr="00597B2E" w:rsidRDefault="002A7FFB" w:rsidP="00216FEE">
      <w:pPr>
        <w:numPr>
          <w:ilvl w:val="0"/>
          <w:numId w:val="19"/>
        </w:numPr>
        <w:spacing w:after="0"/>
        <w:rPr>
          <w:rFonts w:eastAsia="Times New Roman"/>
          <w:i/>
        </w:rPr>
      </w:pPr>
      <w:r w:rsidRPr="00597B2E">
        <w:rPr>
          <w:rFonts w:eastAsia="Times New Roman"/>
        </w:rPr>
        <w:t>7.0</w:t>
      </w:r>
      <w:r w:rsidR="00216FEE" w:rsidRPr="00597B2E">
        <w:rPr>
          <w:rFonts w:eastAsia="Times New Roman"/>
        </w:rPr>
        <w:t xml:space="preserve"> Bullet 5.  Surface frost is discussed, but there is no depth provided on </w:t>
      </w:r>
      <w:r w:rsidRPr="00597B2E">
        <w:rPr>
          <w:rFonts w:eastAsia="Times New Roman"/>
        </w:rPr>
        <w:t xml:space="preserve">what the unacceptable value is. </w:t>
      </w:r>
      <w:r w:rsidR="00216FEE" w:rsidRPr="00597B2E">
        <w:rPr>
          <w:rFonts w:eastAsia="Times New Roman"/>
        </w:rPr>
        <w:t xml:space="preserve"> This may affect project remediation schedule.  </w:t>
      </w:r>
    </w:p>
    <w:p w14:paraId="74A2D4CE" w14:textId="33E79B24" w:rsidR="00216FEE" w:rsidRPr="002A7FFB" w:rsidRDefault="0058425F" w:rsidP="0058425F">
      <w:pPr>
        <w:numPr>
          <w:ilvl w:val="1"/>
          <w:numId w:val="19"/>
        </w:numPr>
        <w:spacing w:after="0"/>
        <w:rPr>
          <w:rFonts w:eastAsia="Times New Roman"/>
          <w:i/>
          <w:color w:val="005A96" w:themeColor="accent1"/>
        </w:rPr>
      </w:pPr>
      <w:r w:rsidRPr="0058425F">
        <w:rPr>
          <w:rFonts w:eastAsia="Times New Roman"/>
          <w:i/>
          <w:color w:val="005A96" w:themeColor="accent1"/>
        </w:rPr>
        <w:t xml:space="preserve">{Section 5, assumption </w:t>
      </w:r>
      <w:r>
        <w:rPr>
          <w:rFonts w:eastAsia="Times New Roman"/>
          <w:i/>
          <w:color w:val="005A96" w:themeColor="accent1"/>
        </w:rPr>
        <w:t xml:space="preserve">7} </w:t>
      </w:r>
      <w:r w:rsidR="00216FEE" w:rsidRPr="002A7FFB">
        <w:rPr>
          <w:rFonts w:eastAsia="Times New Roman"/>
          <w:i/>
          <w:color w:val="005A96" w:themeColor="accent1"/>
        </w:rPr>
        <w:t>We can work with some frost but mitigation will be slowed by more than 2 feet of frost due to difficulty in accessing the subsurface with drill rig.</w:t>
      </w:r>
      <w:r w:rsidR="002A7FFB" w:rsidRPr="002A7FFB">
        <w:rPr>
          <w:rFonts w:eastAsia="Times New Roman"/>
          <w:i/>
          <w:color w:val="005A96" w:themeColor="accent1"/>
        </w:rPr>
        <w:t xml:space="preserve">  Work inside pipe (joint repair) will last into the summer 2020.  If acceptable by WisDOT,</w:t>
      </w:r>
      <w:r w:rsidR="00216FEE" w:rsidRPr="002A7FFB">
        <w:rPr>
          <w:rFonts w:eastAsia="Times New Roman"/>
          <w:i/>
          <w:color w:val="005A96" w:themeColor="accent1"/>
        </w:rPr>
        <w:t xml:space="preserve"> we </w:t>
      </w:r>
      <w:r w:rsidR="002A7FFB" w:rsidRPr="002A7FFB">
        <w:rPr>
          <w:rFonts w:eastAsia="Times New Roman"/>
          <w:i/>
          <w:color w:val="005A96" w:themeColor="accent1"/>
        </w:rPr>
        <w:t xml:space="preserve">can </w:t>
      </w:r>
      <w:r w:rsidR="00216FEE" w:rsidRPr="002A7FFB">
        <w:rPr>
          <w:rFonts w:eastAsia="Times New Roman"/>
          <w:i/>
          <w:color w:val="005A96" w:themeColor="accent1"/>
        </w:rPr>
        <w:t xml:space="preserve">complete </w:t>
      </w:r>
      <w:r w:rsidR="002A7FFB" w:rsidRPr="002A7FFB">
        <w:rPr>
          <w:rFonts w:eastAsia="Times New Roman"/>
          <w:i/>
          <w:color w:val="005A96" w:themeColor="accent1"/>
        </w:rPr>
        <w:t>the initial</w:t>
      </w:r>
      <w:r w:rsidR="00BE28EB">
        <w:rPr>
          <w:rFonts w:eastAsia="Times New Roman"/>
          <w:i/>
          <w:color w:val="005A96" w:themeColor="accent1"/>
        </w:rPr>
        <w:t xml:space="preserve"> MASW </w:t>
      </w:r>
      <w:r w:rsidR="002A7FFB" w:rsidRPr="002A7FFB">
        <w:rPr>
          <w:rFonts w:eastAsia="Times New Roman"/>
          <w:i/>
          <w:color w:val="005A96" w:themeColor="accent1"/>
        </w:rPr>
        <w:t>and then complete ground truth and soil mitigation in the spring when frost is gone.</w:t>
      </w:r>
      <w:r w:rsidR="00BE28EB">
        <w:rPr>
          <w:rFonts w:eastAsia="Times New Roman"/>
          <w:i/>
          <w:color w:val="005A96" w:themeColor="accent1"/>
        </w:rPr>
        <w:t xml:space="preserve">  With a follow up MASW after the pipe mitigation is completed.</w:t>
      </w:r>
      <w:r w:rsidR="002A7FFB" w:rsidRPr="002A7FFB">
        <w:rPr>
          <w:rFonts w:eastAsia="Times New Roman"/>
          <w:i/>
          <w:color w:val="005A96" w:themeColor="accent1"/>
        </w:rPr>
        <w:t xml:space="preserve">  </w:t>
      </w:r>
    </w:p>
    <w:p w14:paraId="3E3F542E" w14:textId="77777777" w:rsidR="002A7FFB" w:rsidRDefault="002A7FFB" w:rsidP="00216FEE">
      <w:pPr>
        <w:numPr>
          <w:ilvl w:val="0"/>
          <w:numId w:val="19"/>
        </w:numPr>
        <w:spacing w:after="0"/>
        <w:rPr>
          <w:rFonts w:eastAsia="Times New Roman"/>
        </w:rPr>
      </w:pPr>
      <w:r>
        <w:rPr>
          <w:rFonts w:eastAsia="Times New Roman"/>
        </w:rPr>
        <w:t>7.0</w:t>
      </w:r>
      <w:r w:rsidR="00216FEE" w:rsidRPr="002A7FFB">
        <w:rPr>
          <w:rFonts w:eastAsia="Times New Roman"/>
        </w:rPr>
        <w:t xml:space="preserve"> Bullet 14.  It appears that Barr may not have all the collected-to-date information.  Has everything been made available to them? </w:t>
      </w:r>
    </w:p>
    <w:p w14:paraId="25CAD6AE" w14:textId="6B01F9AA" w:rsidR="00216FEE" w:rsidRPr="00BE28EB" w:rsidRDefault="0058425F" w:rsidP="00C144F2">
      <w:pPr>
        <w:numPr>
          <w:ilvl w:val="1"/>
          <w:numId w:val="19"/>
        </w:numPr>
        <w:spacing w:after="0"/>
        <w:rPr>
          <w:rFonts w:eastAsia="Times New Roman"/>
          <w:i/>
          <w:color w:val="005A96" w:themeColor="accent1"/>
        </w:rPr>
      </w:pPr>
      <w:r>
        <w:rPr>
          <w:color w:val="005A96" w:themeColor="accent1"/>
        </w:rPr>
        <w:t xml:space="preserve">{Section 2.2} </w:t>
      </w:r>
      <w:r w:rsidR="00BE28EB" w:rsidRPr="00BE28EB">
        <w:rPr>
          <w:i/>
          <w:color w:val="005A96" w:themeColor="accent1"/>
        </w:rPr>
        <w:t>IGE has informed u</w:t>
      </w:r>
      <w:r w:rsidR="00626DBF">
        <w:rPr>
          <w:i/>
          <w:color w:val="005A96" w:themeColor="accent1"/>
        </w:rPr>
        <w:t xml:space="preserve">s that the relevant </w:t>
      </w:r>
      <w:r w:rsidR="00C144F2" w:rsidRPr="00BE28EB">
        <w:rPr>
          <w:i/>
          <w:color w:val="005A96" w:themeColor="accent1"/>
        </w:rPr>
        <w:t>project files have been provided to Barr Engineering and all data will be reviewed prior to commencement of the investigation to ensure project success</w:t>
      </w:r>
      <w:r w:rsidR="00374BDA" w:rsidRPr="00BE28EB">
        <w:rPr>
          <w:i/>
          <w:color w:val="005A96" w:themeColor="accent1"/>
        </w:rPr>
        <w:t>.</w:t>
      </w:r>
    </w:p>
    <w:p w14:paraId="686D378A" w14:textId="77777777" w:rsidR="00C144F2" w:rsidRPr="00597B2E" w:rsidRDefault="00216FEE" w:rsidP="00216FEE">
      <w:pPr>
        <w:numPr>
          <w:ilvl w:val="0"/>
          <w:numId w:val="19"/>
        </w:numPr>
        <w:spacing w:after="0"/>
        <w:rPr>
          <w:rFonts w:eastAsia="Times New Roman"/>
          <w:i/>
        </w:rPr>
      </w:pPr>
      <w:r w:rsidRPr="00597B2E">
        <w:rPr>
          <w:rFonts w:eastAsia="Times New Roman"/>
        </w:rPr>
        <w:t xml:space="preserve">More discussion/justification may be necessary on what remediation/investigations are performed first.  Fix pipe joints and haunches before/after/concurrently with MASW work?  MASW provides an assessment at one point in time.  If pipe experiences more flow and soil loss after testing, the results may not be accurate anymore.  This decision may also be related to the acceptable amount of surface frost during MASW testing. </w:t>
      </w:r>
    </w:p>
    <w:p w14:paraId="719A892E" w14:textId="306F3B5C" w:rsidR="00216FEE" w:rsidRPr="00C144F2" w:rsidRDefault="0058425F" w:rsidP="00C144F2">
      <w:pPr>
        <w:numPr>
          <w:ilvl w:val="1"/>
          <w:numId w:val="19"/>
        </w:numPr>
        <w:spacing w:after="0"/>
        <w:rPr>
          <w:rFonts w:eastAsia="Times New Roman"/>
          <w:i/>
          <w:color w:val="005A96" w:themeColor="accent1"/>
        </w:rPr>
      </w:pPr>
      <w:r>
        <w:rPr>
          <w:rFonts w:eastAsia="Times New Roman"/>
          <w:i/>
          <w:color w:val="005A96" w:themeColor="accent1"/>
        </w:rPr>
        <w:t xml:space="preserve">{Section 5, assumption 5} </w:t>
      </w:r>
      <w:r w:rsidR="00216FEE" w:rsidRPr="00C144F2">
        <w:rPr>
          <w:rFonts w:eastAsia="Times New Roman"/>
          <w:i/>
          <w:color w:val="005A96" w:themeColor="accent1"/>
        </w:rPr>
        <w:t>We propose conducting MASW first, followed by</w:t>
      </w:r>
      <w:r w:rsidR="00BE28EB">
        <w:rPr>
          <w:rFonts w:eastAsia="Times New Roman"/>
          <w:i/>
          <w:color w:val="005A96" w:themeColor="accent1"/>
        </w:rPr>
        <w:t xml:space="preserve"> ground truth which can occur </w:t>
      </w:r>
      <w:r w:rsidR="00216FEE" w:rsidRPr="00C144F2">
        <w:rPr>
          <w:rFonts w:eastAsia="Times New Roman"/>
          <w:i/>
          <w:color w:val="005A96" w:themeColor="accent1"/>
        </w:rPr>
        <w:t xml:space="preserve">in </w:t>
      </w:r>
      <w:r w:rsidR="00C144F2" w:rsidRPr="00C144F2">
        <w:rPr>
          <w:rFonts w:eastAsia="Times New Roman"/>
          <w:i/>
          <w:color w:val="005A96" w:themeColor="accent1"/>
        </w:rPr>
        <w:t>conjunction</w:t>
      </w:r>
      <w:r w:rsidR="00216FEE" w:rsidRPr="00C144F2">
        <w:rPr>
          <w:rFonts w:eastAsia="Times New Roman"/>
          <w:i/>
          <w:color w:val="005A96" w:themeColor="accent1"/>
        </w:rPr>
        <w:t xml:space="preserve"> with the pipe joint sealing.  The joint sealing would be followed by backfill mitigation and then the confirmatory MASW survey.  </w:t>
      </w:r>
    </w:p>
    <w:p w14:paraId="2420A573" w14:textId="77777777" w:rsidR="00C144F2" w:rsidRPr="00C144F2" w:rsidRDefault="00216FEE" w:rsidP="00216FEE">
      <w:pPr>
        <w:numPr>
          <w:ilvl w:val="0"/>
          <w:numId w:val="19"/>
        </w:numPr>
        <w:spacing w:after="0"/>
        <w:rPr>
          <w:rFonts w:eastAsia="Times New Roman"/>
        </w:rPr>
      </w:pPr>
      <w:r w:rsidRPr="00C51669">
        <w:rPr>
          <w:rFonts w:eastAsia="Times New Roman"/>
        </w:rPr>
        <w:t>Are MASW results affected by soil type?</w:t>
      </w:r>
      <w:r>
        <w:rPr>
          <w:rFonts w:eastAsia="Times New Roman"/>
        </w:rPr>
        <w:t xml:space="preserve"> </w:t>
      </w:r>
    </w:p>
    <w:p w14:paraId="508D9DD9" w14:textId="7BEC1704" w:rsidR="00216FEE" w:rsidRPr="00C144F2" w:rsidRDefault="00477405" w:rsidP="00C144F2">
      <w:pPr>
        <w:numPr>
          <w:ilvl w:val="1"/>
          <w:numId w:val="19"/>
        </w:numPr>
        <w:spacing w:after="0"/>
        <w:rPr>
          <w:color w:val="005A96" w:themeColor="accent1"/>
        </w:rPr>
      </w:pPr>
      <w:r>
        <w:rPr>
          <w:rFonts w:eastAsia="Times New Roman"/>
          <w:i/>
          <w:color w:val="005A96" w:themeColor="accent1"/>
        </w:rPr>
        <w:t xml:space="preserve">{Section 2.4.1} </w:t>
      </w:r>
      <w:r w:rsidR="00216FEE" w:rsidRPr="00C144F2">
        <w:rPr>
          <w:rFonts w:eastAsia="Times New Roman"/>
          <w:i/>
          <w:color w:val="005A96" w:themeColor="accent1"/>
        </w:rPr>
        <w:t>Yes. S</w:t>
      </w:r>
      <w:r w:rsidR="00C52DBE">
        <w:rPr>
          <w:rFonts w:eastAsia="Times New Roman"/>
          <w:i/>
          <w:color w:val="005A96" w:themeColor="accent1"/>
        </w:rPr>
        <w:t xml:space="preserve">urface </w:t>
      </w:r>
      <w:r w:rsidR="00216FEE" w:rsidRPr="00C144F2">
        <w:rPr>
          <w:rFonts w:eastAsia="Times New Roman"/>
          <w:i/>
          <w:color w:val="005A96" w:themeColor="accent1"/>
        </w:rPr>
        <w:t xml:space="preserve">wave velocity will vary somewhat by soil type but </w:t>
      </w:r>
      <w:r w:rsidR="00374BDA">
        <w:rPr>
          <w:rFonts w:eastAsia="Times New Roman"/>
          <w:i/>
          <w:color w:val="005A96" w:themeColor="accent1"/>
        </w:rPr>
        <w:t xml:space="preserve">the method is </w:t>
      </w:r>
      <w:r w:rsidR="00860AA4">
        <w:rPr>
          <w:rFonts w:eastAsia="Times New Roman"/>
          <w:i/>
          <w:color w:val="005A96" w:themeColor="accent1"/>
        </w:rPr>
        <w:t>most sensitive to changes in in shear strength.</w:t>
      </w:r>
      <w:r w:rsidR="00216FEE" w:rsidRPr="00C144F2">
        <w:rPr>
          <w:rFonts w:eastAsia="Times New Roman"/>
          <w:i/>
          <w:color w:val="005A96" w:themeColor="accent1"/>
        </w:rPr>
        <w:t xml:space="preserve"> This is why MASW is uniquely useful for this investigation.  The ground truth will help to further refine the limits of high vs lower soil strength/velocity.</w:t>
      </w:r>
    </w:p>
    <w:p w14:paraId="301D6453" w14:textId="77777777" w:rsidR="00C144F2" w:rsidRPr="00C144F2" w:rsidRDefault="00C144F2" w:rsidP="00C144F2">
      <w:pPr>
        <w:spacing w:after="0"/>
        <w:ind w:left="1440"/>
        <w:rPr>
          <w:color w:val="005A96" w:themeColor="accent1"/>
        </w:rPr>
      </w:pPr>
    </w:p>
    <w:p w14:paraId="63ED7CA6" w14:textId="77777777" w:rsidR="00216FEE" w:rsidRDefault="00216FEE" w:rsidP="00C144F2">
      <w:pPr>
        <w:spacing w:after="0"/>
        <w:rPr>
          <w:rFonts w:eastAsia="Times New Roman"/>
        </w:rPr>
      </w:pPr>
      <w:r>
        <w:rPr>
          <w:rFonts w:eastAsia="Times New Roman"/>
        </w:rPr>
        <w:t>Review of 3D Geophysics (i.e. 3D) Proposal:  There appears to be several disconnects between this proposal and Barr’s proposed work. These include:</w:t>
      </w:r>
    </w:p>
    <w:p w14:paraId="5ACB1B2E" w14:textId="77777777" w:rsidR="00C144F2" w:rsidRPr="00C144F2" w:rsidRDefault="00216FEE" w:rsidP="00C144F2">
      <w:pPr>
        <w:numPr>
          <w:ilvl w:val="0"/>
          <w:numId w:val="19"/>
        </w:numPr>
        <w:spacing w:after="0"/>
        <w:rPr>
          <w:rFonts w:eastAsia="Times New Roman"/>
        </w:rPr>
      </w:pPr>
      <w:r>
        <w:rPr>
          <w:rFonts w:eastAsia="Times New Roman"/>
        </w:rPr>
        <w:t xml:space="preserve">3D proposes 750’ of survey during ‘Phase 1’, not 1000’ as Barr proposes.  But 3D includes 5000’ in the cost estimate.  These need to be clarified/corrected. </w:t>
      </w:r>
    </w:p>
    <w:p w14:paraId="28D3DEF2" w14:textId="3E9AFC3A" w:rsidR="00216FEE" w:rsidRPr="00C144F2" w:rsidRDefault="00216FEE" w:rsidP="00216FEE">
      <w:pPr>
        <w:numPr>
          <w:ilvl w:val="1"/>
          <w:numId w:val="19"/>
        </w:numPr>
        <w:spacing w:after="0"/>
        <w:rPr>
          <w:rFonts w:eastAsia="Times New Roman"/>
          <w:i/>
          <w:color w:val="005A96" w:themeColor="accent1"/>
        </w:rPr>
      </w:pPr>
      <w:r w:rsidRPr="00C144F2">
        <w:rPr>
          <w:rFonts w:eastAsia="Times New Roman"/>
          <w:i/>
          <w:color w:val="005A96" w:themeColor="accent1"/>
        </w:rPr>
        <w:t>The cost estimate will likely be revised to match payment terms but in all cases of apparent contradiction, the Barr scope shall prevail.</w:t>
      </w:r>
    </w:p>
    <w:p w14:paraId="591FC2A0" w14:textId="77777777" w:rsidR="00C144F2" w:rsidRDefault="00216FEE" w:rsidP="00C144F2">
      <w:pPr>
        <w:numPr>
          <w:ilvl w:val="0"/>
          <w:numId w:val="19"/>
        </w:numPr>
        <w:spacing w:after="0"/>
        <w:rPr>
          <w:rFonts w:eastAsia="Times New Roman"/>
        </w:rPr>
      </w:pPr>
      <w:r>
        <w:rPr>
          <w:rFonts w:eastAsia="Times New Roman"/>
        </w:rPr>
        <w:t xml:space="preserve">3D discusses voids, but does not discuss defining looser zones, which is also required. </w:t>
      </w:r>
    </w:p>
    <w:p w14:paraId="631CC04E" w14:textId="428AC99F" w:rsidR="00216FEE" w:rsidRPr="00C144F2" w:rsidRDefault="00216FEE" w:rsidP="00216FEE">
      <w:pPr>
        <w:numPr>
          <w:ilvl w:val="1"/>
          <w:numId w:val="19"/>
        </w:numPr>
        <w:spacing w:after="0"/>
        <w:rPr>
          <w:rFonts w:eastAsia="Times New Roman"/>
          <w:color w:val="005A96" w:themeColor="accent1"/>
        </w:rPr>
      </w:pPr>
      <w:r w:rsidRPr="00C144F2">
        <w:rPr>
          <w:rFonts w:eastAsia="Times New Roman"/>
          <w:i/>
          <w:color w:val="005A96" w:themeColor="accent1"/>
        </w:rPr>
        <w:t>They are the same condition from a geophysical standpoint regardless of terms.</w:t>
      </w:r>
    </w:p>
    <w:p w14:paraId="7E62F349" w14:textId="77777777" w:rsidR="00C144F2" w:rsidRDefault="00216FEE" w:rsidP="00C144F2">
      <w:pPr>
        <w:numPr>
          <w:ilvl w:val="0"/>
          <w:numId w:val="19"/>
        </w:numPr>
        <w:spacing w:after="0"/>
        <w:rPr>
          <w:rFonts w:eastAsia="Times New Roman"/>
        </w:rPr>
      </w:pPr>
      <w:r>
        <w:rPr>
          <w:rFonts w:eastAsia="Times New Roman"/>
        </w:rPr>
        <w:t xml:space="preserve">3D discusses depth to weathered bedrock.  This has no relation to this project. </w:t>
      </w:r>
    </w:p>
    <w:p w14:paraId="610A5ABB" w14:textId="34C6AC71" w:rsidR="00216FEE" w:rsidRPr="00C144F2" w:rsidRDefault="00216FEE" w:rsidP="00216FEE">
      <w:pPr>
        <w:numPr>
          <w:ilvl w:val="1"/>
          <w:numId w:val="19"/>
        </w:numPr>
        <w:spacing w:after="0"/>
        <w:rPr>
          <w:rFonts w:eastAsia="Times New Roman"/>
          <w:color w:val="005A96" w:themeColor="accent1"/>
        </w:rPr>
      </w:pPr>
      <w:r w:rsidRPr="00C144F2">
        <w:rPr>
          <w:rFonts w:eastAsia="Times New Roman"/>
          <w:i/>
          <w:color w:val="005A96" w:themeColor="accent1"/>
        </w:rPr>
        <w:t xml:space="preserve">Agreed this is an issue for some sites </w:t>
      </w:r>
      <w:r w:rsidR="00BE28EB">
        <w:rPr>
          <w:rFonts w:eastAsia="Times New Roman"/>
          <w:i/>
          <w:color w:val="005A96" w:themeColor="accent1"/>
        </w:rPr>
        <w:t xml:space="preserve">and is included as example in Appendix B of a dense material, </w:t>
      </w:r>
      <w:r w:rsidRPr="00C144F2">
        <w:rPr>
          <w:rFonts w:eastAsia="Times New Roman"/>
          <w:i/>
          <w:color w:val="005A96" w:themeColor="accent1"/>
        </w:rPr>
        <w:t>but is unlikely at this site because we have at least one deep boring that suggests bedrock is much deeper than the pipe backfill.</w:t>
      </w:r>
    </w:p>
    <w:p w14:paraId="586EE727" w14:textId="77777777" w:rsidR="00C144F2" w:rsidRPr="00C144F2" w:rsidRDefault="00216FEE" w:rsidP="00C144F2">
      <w:pPr>
        <w:numPr>
          <w:ilvl w:val="0"/>
          <w:numId w:val="19"/>
        </w:numPr>
        <w:spacing w:after="0"/>
        <w:rPr>
          <w:rFonts w:eastAsia="Times New Roman"/>
        </w:rPr>
      </w:pPr>
      <w:r>
        <w:rPr>
          <w:rFonts w:eastAsia="Times New Roman"/>
        </w:rPr>
        <w:t>3D discusses collecting “tape measure data through the pipe”.  Further explanation on this is required.</w:t>
      </w:r>
    </w:p>
    <w:p w14:paraId="6547B570" w14:textId="0FA1B39F" w:rsidR="00216FEE" w:rsidRPr="00C144F2" w:rsidRDefault="00216FEE" w:rsidP="00216FEE">
      <w:pPr>
        <w:numPr>
          <w:ilvl w:val="1"/>
          <w:numId w:val="19"/>
        </w:numPr>
        <w:spacing w:after="0"/>
        <w:rPr>
          <w:rFonts w:eastAsia="Times New Roman"/>
          <w:i/>
          <w:color w:val="005A96" w:themeColor="accent1"/>
        </w:rPr>
      </w:pPr>
      <w:r w:rsidRPr="00C144F2">
        <w:rPr>
          <w:rFonts w:eastAsia="Times New Roman"/>
          <w:i/>
          <w:color w:val="005A96" w:themeColor="accent1"/>
        </w:rPr>
        <w:t>Correlation of the pipe distance to above ground distance will be provided by Barr Engineering based on our previous pipe inspection work.</w:t>
      </w:r>
    </w:p>
    <w:p w14:paraId="6B73D8A9" w14:textId="01E349DD" w:rsidR="00C144F2" w:rsidRPr="00C144F2" w:rsidRDefault="00C144F2" w:rsidP="00C144F2">
      <w:pPr>
        <w:numPr>
          <w:ilvl w:val="0"/>
          <w:numId w:val="19"/>
        </w:numPr>
        <w:spacing w:after="0"/>
        <w:rPr>
          <w:rFonts w:eastAsia="Times New Roman"/>
        </w:rPr>
      </w:pPr>
      <w:r>
        <w:rPr>
          <w:rFonts w:eastAsia="Times New Roman"/>
        </w:rPr>
        <w:t xml:space="preserve">3D scope of work is confusing. </w:t>
      </w:r>
      <w:r w:rsidR="00216FEE">
        <w:rPr>
          <w:rFonts w:eastAsia="Times New Roman"/>
        </w:rPr>
        <w:t xml:space="preserve"> Barr states there will be 5000 linear feet of MASW work, which agrees with the 3D “Primary Geophysical Survey” scope presented.  Barr also states there will be 3000 lineal feet of post-remediation work completed, but 3D appears to indicate this is “Optio</w:t>
      </w:r>
      <w:r>
        <w:rPr>
          <w:rFonts w:eastAsia="Times New Roman"/>
        </w:rPr>
        <w:t xml:space="preserve">nal” (and it will be 5000’). </w:t>
      </w:r>
      <w:r w:rsidR="00216FEE">
        <w:rPr>
          <w:rFonts w:eastAsia="Times New Roman"/>
        </w:rPr>
        <w:t xml:space="preserve">3D also appears to indicate that the “full length of the sewer line” investigation is only completed if “appropriate”, and further states that repeat survey “could” be conducted.  A definitive scope of work needs to be clarified, and coordinated between the two documents. </w:t>
      </w:r>
    </w:p>
    <w:p w14:paraId="7B73B1E9" w14:textId="057D15D3" w:rsidR="00C144F2" w:rsidRPr="00597B2E" w:rsidRDefault="00216FEE" w:rsidP="00B571D0">
      <w:pPr>
        <w:numPr>
          <w:ilvl w:val="1"/>
          <w:numId w:val="19"/>
        </w:numPr>
        <w:spacing w:after="0"/>
      </w:pPr>
      <w:r w:rsidRPr="00597B2E">
        <w:rPr>
          <w:rFonts w:eastAsia="Times New Roman"/>
          <w:i/>
          <w:color w:val="005A96" w:themeColor="accent1"/>
        </w:rPr>
        <w:t xml:space="preserve">Barr’s scope of work prevails.  3DGeo will perform the work as directed. Units for payment by Barr’s subcontractor is shown only to provide detail on the technical details of the survey.  </w:t>
      </w:r>
    </w:p>
    <w:p w14:paraId="2ABAF77A" w14:textId="77777777" w:rsidR="00597B2E" w:rsidRDefault="00597B2E" w:rsidP="00597B2E">
      <w:pPr>
        <w:spacing w:after="0"/>
        <w:ind w:left="1440"/>
      </w:pPr>
    </w:p>
    <w:p w14:paraId="7C185349" w14:textId="4CF8375C" w:rsidR="00C144F2" w:rsidRDefault="00C144F2" w:rsidP="00C144F2">
      <w:bookmarkStart w:id="1" w:name="_GoBack"/>
      <w:bookmarkEnd w:id="1"/>
    </w:p>
    <w:sectPr w:rsidR="00C144F2" w:rsidSect="004C6F21">
      <w:headerReference w:type="default" r:id="rId11"/>
      <w:footerReference w:type="default" r:id="rId12"/>
      <w:headerReference w:type="first" r:id="rId13"/>
      <w:footerReference w:type="first" r:id="rId14"/>
      <w:pgSz w:w="12240" w:h="15840" w:code="1"/>
      <w:pgMar w:top="1440" w:right="1440" w:bottom="1440" w:left="1440" w:header="720"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6D0634" w14:textId="77777777" w:rsidR="00003691" w:rsidRDefault="00003691" w:rsidP="003059A0">
      <w:r>
        <w:separator/>
      </w:r>
    </w:p>
  </w:endnote>
  <w:endnote w:type="continuationSeparator" w:id="0">
    <w:p w14:paraId="67CF26B8" w14:textId="77777777" w:rsidR="00003691" w:rsidRDefault="00003691" w:rsidP="0030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06D3C" w14:textId="26FAF254" w:rsidR="00BD7521" w:rsidRPr="003059A0" w:rsidRDefault="00E167DF" w:rsidP="003059A0">
    <w:pPr>
      <w:pStyle w:val="Footer"/>
      <w:rPr>
        <w:color w:val="D9D9D9" w:themeColor="background1" w:themeShade="D9"/>
        <w:sz w:val="10"/>
        <w:szCs w:val="16"/>
      </w:rPr>
    </w:pPr>
    <w:r w:rsidRPr="003059A0">
      <w:rPr>
        <w:color w:val="D9D9D9" w:themeColor="background1" w:themeShade="D9"/>
        <w:sz w:val="10"/>
        <w:szCs w:val="16"/>
      </w:rPr>
      <w:fldChar w:fldCharType="begin"/>
    </w:r>
    <w:r w:rsidRPr="003059A0">
      <w:rPr>
        <w:color w:val="D9D9D9" w:themeColor="background1" w:themeShade="D9"/>
        <w:sz w:val="10"/>
        <w:szCs w:val="16"/>
      </w:rPr>
      <w:instrText xml:space="preserve"> FILENAME  \p  \* MERGEFORMAT </w:instrText>
    </w:r>
    <w:r w:rsidRPr="003059A0">
      <w:rPr>
        <w:color w:val="D9D9D9" w:themeColor="background1" w:themeShade="D9"/>
        <w:sz w:val="10"/>
        <w:szCs w:val="16"/>
      </w:rPr>
      <w:fldChar w:fldCharType="separate"/>
    </w:r>
    <w:r w:rsidR="007304E5">
      <w:rPr>
        <w:noProof/>
        <w:color w:val="D9D9D9" w:themeColor="background1" w:themeShade="D9"/>
        <w:sz w:val="10"/>
        <w:szCs w:val="16"/>
      </w:rPr>
      <w:t>P:\Mpls\49 WI\13\49131019 Verona WI  Sinkhole Evaluation\WorkFiles\Geophysics\Work Plan for Geophysics and Backfill Investigation\2020_0106_Barr comments final DRAFT.docx</w:t>
    </w:r>
    <w:r w:rsidRPr="003059A0">
      <w:rPr>
        <w:noProof/>
        <w:color w:val="D9D9D9" w:themeColor="background1" w:themeShade="D9"/>
        <w:sz w:val="10"/>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C25C3" w14:textId="77777777" w:rsidR="006C3636" w:rsidRPr="007F2498" w:rsidRDefault="006C3636" w:rsidP="004C6F21">
    <w:pPr>
      <w:pStyle w:val="Office"/>
      <w:rPr>
        <w:sz w:val="2"/>
        <w:szCs w:val="2"/>
      </w:rPr>
    </w:pPr>
    <w:r w:rsidRPr="007F2498">
      <w:rPr>
        <w:noProof/>
        <w:sz w:val="2"/>
        <w:szCs w:val="2"/>
      </w:rPr>
      <mc:AlternateContent>
        <mc:Choice Requires="wps">
          <w:drawing>
            <wp:anchor distT="0" distB="0" distL="114300" distR="114300" simplePos="0" relativeHeight="251663360" behindDoc="0" locked="1" layoutInCell="1" allowOverlap="1" wp14:anchorId="30DCE4F6" wp14:editId="25486BBD">
              <wp:simplePos x="0" y="0"/>
              <wp:positionH relativeFrom="page">
                <wp:posOffset>0</wp:posOffset>
              </wp:positionH>
              <wp:positionV relativeFrom="page">
                <wp:posOffset>9372600</wp:posOffset>
              </wp:positionV>
              <wp:extent cx="7780020" cy="347345"/>
              <wp:effectExtent l="0" t="0" r="0" b="0"/>
              <wp:wrapNone/>
              <wp:docPr id="3" name="Text Box 3"/>
              <wp:cNvGraphicFramePr/>
              <a:graphic xmlns:a="http://schemas.openxmlformats.org/drawingml/2006/main">
                <a:graphicData uri="http://schemas.microsoft.com/office/word/2010/wordprocessingShape">
                  <wps:wsp>
                    <wps:cNvSpPr txBox="1"/>
                    <wps:spPr>
                      <a:xfrm>
                        <a:off x="0" y="0"/>
                        <a:ext cx="7780020" cy="347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93DEFF" w14:textId="61821537" w:rsidR="006C3636" w:rsidRPr="00CC37A0" w:rsidRDefault="00626DBF" w:rsidP="00054F50">
                          <w:pPr>
                            <w:pStyle w:val="Office"/>
                            <w:rPr>
                              <w:rStyle w:val="BarrletterheadaddressChar"/>
                              <w:szCs w:val="18"/>
                            </w:rPr>
                          </w:pPr>
                          <w:sdt>
                            <w:sdtPr>
                              <w:rPr>
                                <w:sz w:val="18"/>
                                <w:szCs w:val="18"/>
                              </w:rPr>
                              <w:id w:val="2120405239"/>
                              <w:placeholder>
                                <w:docPart w:val="1FD3CF43A0684A92A4D29547D9964C26"/>
                              </w:placeholder>
                              <w:comboBox>
                                <w:listItem w:value="Choose an item."/>
                                <w:listItem w:displayText="Barr Engineering Co. 3005 Boardwalk Street, Suite 100, Ann Arbor, MI  48108   734.922.4400" w:value="Barr Engineering Co. 3005 Boardwalk Street, Suite 100, Ann Arbor, MI  48108   734.922.4400"/>
                                <w:listItem w:displayText="Barr Engineering Co. 234 West Century Avenue, Bismarck, ND 58503   701.255.5460" w:value="Barr Engineering Co. 234 West Century Avenue, Bismarck, ND 58503   701.255.5460"/>
                                <w:listItem w:displayText="Barr Engineering &amp; Environmental Science Canada Ltd 808 4th Avenue SW, Suite 700, Calgary, AB T2P 3E8   403.592.8300" w:value="Barr Engineering &amp; Environmental Science Canada Ltd 808 4th Avenue SW, Suite 700, Calgary, AB T2P 3E8   403.592.8300"/>
                                <w:listItem w:displayText="Barr Engineering Co. 1600 Broadway, Suite 1600, Denver, CO 80202 800.632.2277" w:value="Barr Engineering Co. 1600 Broadway, Suite 1600, Denver, CO 80202 800.632.2277"/>
                                <w:listItem w:displayText="Barr Engineering Co.   650 South Cherry Street, Suite 510, Denver, CO 80246   303.333.0280   800.632.2277" w:value="Barr Engineering Co.   650 South Cherry Street, Suite 510, Denver, CO 80246   303.333.0280   800.632.2277"/>
                                <w:listItem w:displayText="Barr Engineering Co. 325 South Lake Avenue, Duluth, MN  55802   218.529.8200" w:value="Barr Engineering Co. 325 South Lake Avenue, Duluth, MN  55802   218.529.8200"/>
                                <w:listItem w:displayText="Barr Engineering Co. 4771 50th St SE, Grand Rapids, MI 49512   616.512.7000" w:value="Barr Engineering Co. 4771 50th St SE, Grand Rapids, MI 49512   616.512.7000"/>
                                <w:listItem w:displayText="Barr Engineering Co. 3128 14th Avenue East, Hibbing, MN  55746   218.262.8600" w:value="Barr Engineering Co. 3128 14th Avenue East, Hibbing, MN  55746   218.262.8600"/>
                                <w:listItem w:displayText="Barr Engineering Co. 1001 Diamond Ridge, Suite 1100, Jefferson City, MO  65109   573.638.5000" w:value="Barr Engineering Co. 1001 Diamond Ridge, Suite 1100, Jefferson City, MO  65109   573.638.5000"/>
                                <w:listItem w:displayText="Barr Engineering Co. 4300 MarketPointe Drive, Suite 200, Minneapolis, MN 55435   952.832.2600" w:value="Barr Engineering Co. 4300 MarketPointe Drive, Suite 200, Minneapolis, MN 55435   952.832.2600"/>
                                <w:listItem w:displayText="Barr Engineering Co. 170 South Main Street, Suite 500, Salt Lake City, UT 84101   801.333.8400" w:value="Barr Engineering Co. 170 South Main Street, Suite 500, Salt Lake City, UT 84101   801.333.8400"/>
                              </w:comboBox>
                            </w:sdtPr>
                            <w:sdtEndPr/>
                            <w:sdtContent>
                              <w:r w:rsidR="00D9548A">
                                <w:rPr>
                                  <w:sz w:val="18"/>
                                  <w:szCs w:val="18"/>
                                </w:rPr>
                                <w:t>Barr Engineering Co. 4300 MarketPointe Drive, Suite 200, Minneapolis, MN 55435   952.832.2600</w:t>
                              </w:r>
                            </w:sdtContent>
                          </w:sdt>
                          <w:r w:rsidR="00E56288" w:rsidRPr="00CC37A0">
                            <w:rPr>
                              <w:sz w:val="18"/>
                              <w:szCs w:val="18"/>
                            </w:rPr>
                            <w:t xml:space="preserve">  www.barr.com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shapetype w14:anchorId="30DCE4F6" id="_x0000_t202" coordsize="21600,21600" o:spt="202" path="m,l,21600r21600,l21600,xe">
              <v:stroke joinstyle="miter"/>
              <v:path gradientshapeok="t" o:connecttype="rect"/>
            </v:shapetype>
            <v:shape id="Text Box 3" o:spid="_x0000_s1026" type="#_x0000_t202" style="position:absolute;left:0;text-align:left;margin-left:0;margin-top:738pt;width:612.6pt;height:27.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" filled="f" stroked="f" strokeweight=".5pt">
              <v:textbox>
                <w:txbxContent>
                  <w:p w14:paraId="5093DEFF" w14:textId="61821537" w:rsidR="006C3636" w:rsidRPr="00CC37A0" w:rsidRDefault="00003691" w:rsidP="00054F50">
                    <w:pPr>
                      <w:pStyle w:val="Office"/>
                      <w:rPr>
                        <w:rStyle w:val="BarrletterheadaddressChar"/>
                        <w:szCs w:val="18"/>
                      </w:rPr>
                    </w:pPr>
                    <w:sdt>
                      <w:sdtPr>
                        <w:rPr>
                          <w:sz w:val="18"/>
                          <w:szCs w:val="18"/>
                        </w:rPr>
                        <w:id w:val="2120405239"/>
                        <w:placeholder>
                          <w:docPart w:val="1FD3CF43A0684A92A4D29547D9964C26"/>
                        </w:placeholder>
                        <w:comboBox>
                          <w:listItem w:value="Choose an item."/>
                          <w:listItem w:displayText="Barr Engineering Co. 3005 Boardwalk Street, Suite 100, Ann Arbor, MI  48108   734.922.4400" w:value="Barr Engineering Co. 3005 Boardwalk Street, Suite 100, Ann Arbor, MI  48108   734.922.4400"/>
                          <w:listItem w:displayText="Barr Engineering Co. 234 West Century Avenue, Bismarck, ND 58503   701.255.5460" w:value="Barr Engineering Co. 234 West Century Avenue, Bismarck, ND 58503   701.255.5460"/>
                          <w:listItem w:displayText="Barr Engineering &amp; Environmental Science Canada Ltd 808 4th Avenue SW, Suite 700, Calgary, AB T2P 3E8   403.592.8300" w:value="Barr Engineering &amp; Environmental Science Canada Ltd 808 4th Avenue SW, Suite 700, Calgary, AB T2P 3E8   403.592.8300"/>
                          <w:listItem w:displayText="Barr Engineering Co. 1600 Broadway, Suite 1600, Denver, CO 80202 800.632.2277" w:value="Barr Engineering Co. 1600 Broadway, Suite 1600, Denver, CO 80202 800.632.2277"/>
                          <w:listItem w:displayText="Barr Engineering Co.   650 South Cherry Street, Suite 510, Denver, CO 80246   303.333.0280   800.632.2277" w:value="Barr Engineering Co.   650 South Cherry Street, Suite 510, Denver, CO 80246   303.333.0280   800.632.2277"/>
                          <w:listItem w:displayText="Barr Engineering Co. 325 South Lake Avenue, Duluth, MN  55802   218.529.8200" w:value="Barr Engineering Co. 325 South Lake Avenue, Duluth, MN  55802   218.529.8200"/>
                          <w:listItem w:displayText="Barr Engineering Co. 4771 50th St SE, Grand Rapids, MI 49512   616.512.7000" w:value="Barr Engineering Co. 4771 50th St SE, Grand Rapids, MI 49512   616.512.7000"/>
                          <w:listItem w:displayText="Barr Engineering Co. 3128 14th Avenue East, Hibbing, MN  55746   218.262.8600" w:value="Barr Engineering Co. 3128 14th Avenue East, Hibbing, MN  55746   218.262.8600"/>
                          <w:listItem w:displayText="Barr Engineering Co. 1001 Diamond Ridge, Suite 1100, Jefferson City, MO  65109   573.638.5000" w:value="Barr Engineering Co. 1001 Diamond Ridge, Suite 1100, Jefferson City, MO  65109   573.638.5000"/>
                          <w:listItem w:displayText="Barr Engineering Co. 4300 MarketPointe Drive, Suite 200, Minneapolis, MN 55435   952.832.2600" w:value="Barr Engineering Co. 4300 MarketPointe Drive, Suite 200, Minneapolis, MN 55435   952.832.2600"/>
                          <w:listItem w:displayText="Barr Engineering Co. 170 South Main Street, Suite 500, Salt Lake City, UT 84101   801.333.8400" w:value="Barr Engineering Co. 170 South Main Street, Suite 500, Salt Lake City, UT 84101   801.333.8400"/>
                        </w:comboBox>
                      </w:sdtPr>
                      <w:sdtEndPr/>
                      <w:sdtContent>
                        <w:r w:rsidR="00D9548A">
                          <w:rPr>
                            <w:sz w:val="18"/>
                            <w:szCs w:val="18"/>
                          </w:rPr>
                          <w:t xml:space="preserve">Barr Engineering Co. 4300 </w:t>
                        </w:r>
                        <w:proofErr w:type="spellStart"/>
                        <w:r w:rsidR="00D9548A">
                          <w:rPr>
                            <w:sz w:val="18"/>
                            <w:szCs w:val="18"/>
                          </w:rPr>
                          <w:t>MarketPointe</w:t>
                        </w:r>
                        <w:proofErr w:type="spellEnd"/>
                        <w:r w:rsidR="00D9548A">
                          <w:rPr>
                            <w:sz w:val="18"/>
                            <w:szCs w:val="18"/>
                          </w:rPr>
                          <w:t xml:space="preserve"> Drive, Suite 200, Minneapolis, MN 55435   952.832.2600</w:t>
                        </w:r>
                      </w:sdtContent>
                    </w:sdt>
                    <w:r w:rsidR="00E56288" w:rsidRPr="00CC37A0">
                      <w:rPr>
                        <w:sz w:val="18"/>
                        <w:szCs w:val="18"/>
                      </w:rPr>
                      <w:t xml:space="preserve">  www.barr.com</w:t>
                    </w:r>
                  </w:p>
                </w:txbxContent>
              </v:textbox>
              <w10:wrap anchorx="page" anchory="page"/>
              <w10:anchorlock/>
            </v:shape>
          </w:pict>
        </mc:Fallback>
      </mc:AlternateContent>
    </w:r>
    <w:r w:rsidR="00E377CF" w:rsidRPr="007F2498">
      <w:rPr>
        <w:noProof/>
        <w:sz w:val="2"/>
        <w:szCs w:val="2"/>
      </w:rPr>
      <mc:AlternateContent>
        <mc:Choice Requires="wps">
          <w:drawing>
            <wp:anchor distT="0" distB="0" distL="114300" distR="114300" simplePos="0" relativeHeight="251661312" behindDoc="0" locked="1" layoutInCell="1" allowOverlap="1" wp14:anchorId="6659F83E" wp14:editId="24954069">
              <wp:simplePos x="0" y="0"/>
              <wp:positionH relativeFrom="page">
                <wp:posOffset>-45720</wp:posOffset>
              </wp:positionH>
              <wp:positionV relativeFrom="page">
                <wp:posOffset>9720580</wp:posOffset>
              </wp:positionV>
              <wp:extent cx="15636240" cy="0"/>
              <wp:effectExtent l="0" t="0" r="22860" b="19050"/>
              <wp:wrapNone/>
              <wp:docPr id="4" name="Straight Connector 4"/>
              <wp:cNvGraphicFramePr/>
              <a:graphic xmlns:a="http://schemas.openxmlformats.org/drawingml/2006/main">
                <a:graphicData uri="http://schemas.microsoft.com/office/word/2010/wordprocessingShape">
                  <wps:wsp>
                    <wps:cNvCnPr/>
                    <wps:spPr>
                      <a:xfrm>
                        <a:off x="0" y="0"/>
                        <a:ext cx="15636240" cy="0"/>
                      </a:xfrm>
                      <a:prstGeom prst="line">
                        <a:avLst/>
                      </a:prstGeom>
                      <a:ln w="12700">
                        <a:solidFill>
                          <a:srgbClr val="7C8E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line w14:anchorId="2DECDDDD" id="Straight Connector 4"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6pt,765.4pt" to="1227.6pt,7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" strokecolor="#7c8e2b" strokeweight="1pt">
              <w10:wrap anchorx="page" anchory="page"/>
              <w10:anchorlock/>
            </v:line>
          </w:pict>
        </mc:Fallback>
      </mc:AlternateContent>
    </w:r>
    <w:r w:rsidR="00E377CF" w:rsidRPr="007F2498">
      <w:rPr>
        <w:noProof/>
        <w:sz w:val="2"/>
        <w:szCs w:val="2"/>
      </w:rPr>
      <mc:AlternateContent>
        <mc:Choice Requires="wps">
          <w:drawing>
            <wp:anchor distT="0" distB="0" distL="114300" distR="114300" simplePos="0" relativeHeight="251659264" behindDoc="0" locked="1" layoutInCell="1" allowOverlap="1" wp14:anchorId="0CD4C67A" wp14:editId="59CEF0FD">
              <wp:simplePos x="0" y="0"/>
              <wp:positionH relativeFrom="page">
                <wp:posOffset>-45720</wp:posOffset>
              </wp:positionH>
              <wp:positionV relativeFrom="page">
                <wp:posOffset>9364980</wp:posOffset>
              </wp:positionV>
              <wp:extent cx="1563624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15636240" cy="0"/>
                      </a:xfrm>
                      <a:prstGeom prst="line">
                        <a:avLst/>
                      </a:prstGeom>
                      <a:ln w="12700">
                        <a:solidFill>
                          <a:srgbClr val="7C8E2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line w14:anchorId="046993D3" id="Straight Connector 2" o:spid="_x0000_s1026" style="position:absolute;z-index:2516592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6pt,737.4pt" to="1227.6pt,7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" strokecolor="#7c8e2b" strokeweight="1pt">
              <w10:wrap anchorx="page" anchory="page"/>
              <w10:anchorlock/>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1A4785" w14:textId="77777777" w:rsidR="00003691" w:rsidRDefault="00003691" w:rsidP="003059A0">
      <w:r>
        <w:separator/>
      </w:r>
    </w:p>
  </w:footnote>
  <w:footnote w:type="continuationSeparator" w:id="0">
    <w:p w14:paraId="191DD7BD" w14:textId="77777777" w:rsidR="00003691" w:rsidRDefault="00003691" w:rsidP="003059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B1D45" w14:textId="27F21530" w:rsidR="00AD09DB" w:rsidRDefault="00AD09DB" w:rsidP="00AD09DB">
    <w:pPr>
      <w:pStyle w:val="Header"/>
    </w:pPr>
    <w:r>
      <w:t>Appendix B</w:t>
    </w:r>
  </w:p>
  <w:p w14:paraId="25CBEC16" w14:textId="28CF1CEC" w:rsidR="00AC7064" w:rsidRDefault="00AC7064" w:rsidP="00AC7064">
    <w:pPr>
      <w:pStyle w:val="Header"/>
      <w:pBdr>
        <w:bottom w:val="single" w:sz="4" w:space="1" w:color="auto"/>
      </w:pBdr>
    </w:pPr>
    <w:r>
      <w:t xml:space="preserve">January </w:t>
    </w:r>
    <w:r w:rsidR="00AD09DB">
      <w:t>23</w:t>
    </w:r>
    <w:r>
      <w:t>, 2020</w:t>
    </w:r>
  </w:p>
  <w:p w14:paraId="6BCF3964" w14:textId="6F10FBB8" w:rsidR="00A54B3A" w:rsidRPr="00A54B3A" w:rsidRDefault="00A54B3A" w:rsidP="00AC7064">
    <w:pPr>
      <w:pStyle w:val="Header"/>
      <w:pBdr>
        <w:bottom w:val="single" w:sz="4" w:space="1" w:color="auto"/>
      </w:pBdr>
    </w:pPr>
    <w:r>
      <w:t xml:space="preserve">Page </w:t>
    </w:r>
    <w:r>
      <w:fldChar w:fldCharType="begin"/>
    </w:r>
    <w:r>
      <w:instrText xml:space="preserve"> PAGE   \* MERGEFORMAT </w:instrText>
    </w:r>
    <w:r>
      <w:fldChar w:fldCharType="separate"/>
    </w:r>
    <w:r w:rsidR="00626DBF">
      <w:rPr>
        <w:noProof/>
      </w:rPr>
      <w:t>6</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78B7B" w14:textId="77777777" w:rsidR="00BD7521" w:rsidRPr="0077750D" w:rsidRDefault="003059A0" w:rsidP="0077750D">
    <w:pPr>
      <w:pStyle w:val="Header"/>
      <w:rPr>
        <w:rFonts w:ascii="Century Gothic" w:hAnsi="Century Gothic"/>
        <w:sz w:val="20"/>
      </w:rPr>
    </w:pPr>
    <w:r w:rsidRPr="0077750D">
      <w:rPr>
        <w:rFonts w:ascii="Century Gothic" w:hAnsi="Century Gothic"/>
        <w:noProof/>
        <w:sz w:val="20"/>
      </w:rPr>
      <w:drawing>
        <wp:anchor distT="0" distB="0" distL="114300" distR="114300" simplePos="0" relativeHeight="251664384" behindDoc="1" locked="0" layoutInCell="1" allowOverlap="1" wp14:anchorId="6CF0ED8A" wp14:editId="71D5C469">
          <wp:simplePos x="0" y="0"/>
          <wp:positionH relativeFrom="column">
            <wp:posOffset>3182680</wp:posOffset>
          </wp:positionH>
          <wp:positionV relativeFrom="paragraph">
            <wp:posOffset>-224287</wp:posOffset>
          </wp:positionV>
          <wp:extent cx="3268345" cy="950595"/>
          <wp:effectExtent l="0" t="0" r="8255" b="1905"/>
          <wp:wrapNone/>
          <wp:docPr id="9" name="Picture 9" descr="ElecLetterhead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lecLetterhead_heade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268345" cy="9505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AE0CA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5608B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1B435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DA84C7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ABA90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99001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F1A61F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160CE7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3F4C8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C9CA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C055B41"/>
    <w:multiLevelType w:val="hybridMultilevel"/>
    <w:tmpl w:val="74263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FF6F97"/>
    <w:multiLevelType w:val="hybridMultilevel"/>
    <w:tmpl w:val="712AC558"/>
    <w:lvl w:ilvl="0" w:tplc="E74876A4">
      <w:start w:val="1"/>
      <w:numFmt w:val="bullet"/>
      <w:pStyle w:val="Bulletslevel1"/>
      <w:lvlText w:val=""/>
      <w:lvlJc w:val="left"/>
      <w:pPr>
        <w:ind w:left="720" w:hanging="360"/>
      </w:pPr>
      <w:rPr>
        <w:rFonts w:ascii="Symbol" w:hAnsi="Symbol" w:hint="default"/>
      </w:rPr>
    </w:lvl>
    <w:lvl w:ilvl="1" w:tplc="5B3687BC">
      <w:start w:val="1"/>
      <w:numFmt w:val="bullet"/>
      <w:pStyle w:val="Bulletslevel2"/>
      <w:lvlText w:val="o"/>
      <w:lvlJc w:val="left"/>
      <w:pPr>
        <w:ind w:left="1440" w:hanging="360"/>
      </w:pPr>
      <w:rPr>
        <w:rFonts w:ascii="Courier New" w:hAnsi="Courier New" w:cs="Courier New" w:hint="default"/>
      </w:rPr>
    </w:lvl>
    <w:lvl w:ilvl="2" w:tplc="6A92CF92">
      <w:start w:val="1"/>
      <w:numFmt w:val="bullet"/>
      <w:pStyle w:val="Bulletslevel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30208B"/>
    <w:multiLevelType w:val="hybridMultilevel"/>
    <w:tmpl w:val="CCC685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E11C0F"/>
    <w:multiLevelType w:val="multilevel"/>
    <w:tmpl w:val="4FD2A9BC"/>
    <w:lvl w:ilvl="0">
      <w:start w:val="1"/>
      <w:numFmt w:val="decimal"/>
      <w:pStyle w:val="Heading1"/>
      <w:lvlText w:val="%1.0"/>
      <w:lvlJc w:val="left"/>
      <w:pPr>
        <w:ind w:left="432" w:hanging="432"/>
      </w:pPr>
      <w:rPr>
        <w:rFonts w:ascii="Century Gothic" w:hAnsi="Century Gothic" w:hint="default"/>
        <w:b/>
        <w:i w:val="0"/>
        <w:sz w:val="28"/>
        <w:szCs w:val="28"/>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7C790641"/>
    <w:multiLevelType w:val="hybridMultilevel"/>
    <w:tmpl w:val="FA1CB45E"/>
    <w:lvl w:ilvl="0" w:tplc="EE64F40A">
      <w:start w:val="1"/>
      <w:numFmt w:val="bullet"/>
      <w:pStyle w:val="Table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1"/>
  </w:num>
  <w:num w:numId="3">
    <w:abstractNumId w:val="11"/>
  </w:num>
  <w:num w:numId="4">
    <w:abstractNumId w:val="13"/>
  </w:num>
  <w:num w:numId="5">
    <w:abstractNumId w:val="13"/>
  </w:num>
  <w:num w:numId="6">
    <w:abstractNumId w:val="13"/>
  </w:num>
  <w:num w:numId="7">
    <w:abstractNumId w:val="1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360"/>
  <w:drawingGridHorizontalSpacing w:val="360"/>
  <w:drawingGridVerticalSpacing w:val="360"/>
  <w:displayHorizontalDrawingGridEvery w:val="0"/>
  <w:displayVerticalDrawingGridEvery w:val="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F50"/>
    <w:rsid w:val="00001765"/>
    <w:rsid w:val="00003691"/>
    <w:rsid w:val="00006587"/>
    <w:rsid w:val="00050631"/>
    <w:rsid w:val="00054F50"/>
    <w:rsid w:val="0006394C"/>
    <w:rsid w:val="00074968"/>
    <w:rsid w:val="000B2D40"/>
    <w:rsid w:val="000B5C27"/>
    <w:rsid w:val="000D4D54"/>
    <w:rsid w:val="000D6746"/>
    <w:rsid w:val="000F3D36"/>
    <w:rsid w:val="00116505"/>
    <w:rsid w:val="001214DB"/>
    <w:rsid w:val="001730D2"/>
    <w:rsid w:val="001736A8"/>
    <w:rsid w:val="00184A2F"/>
    <w:rsid w:val="00195495"/>
    <w:rsid w:val="001A0263"/>
    <w:rsid w:val="001B212A"/>
    <w:rsid w:val="001C3A07"/>
    <w:rsid w:val="001C7AF7"/>
    <w:rsid w:val="001E0CEF"/>
    <w:rsid w:val="001E2A93"/>
    <w:rsid w:val="001E6A33"/>
    <w:rsid w:val="00216FEE"/>
    <w:rsid w:val="0021706A"/>
    <w:rsid w:val="002236FB"/>
    <w:rsid w:val="00240337"/>
    <w:rsid w:val="00255678"/>
    <w:rsid w:val="00256E90"/>
    <w:rsid w:val="0026144F"/>
    <w:rsid w:val="00265B69"/>
    <w:rsid w:val="002A7FFB"/>
    <w:rsid w:val="002E242A"/>
    <w:rsid w:val="002F0DCC"/>
    <w:rsid w:val="003059A0"/>
    <w:rsid w:val="003138C0"/>
    <w:rsid w:val="00322134"/>
    <w:rsid w:val="003262B6"/>
    <w:rsid w:val="00347921"/>
    <w:rsid w:val="003642FC"/>
    <w:rsid w:val="00367602"/>
    <w:rsid w:val="00374BDA"/>
    <w:rsid w:val="003972AB"/>
    <w:rsid w:val="003F7CB2"/>
    <w:rsid w:val="00433702"/>
    <w:rsid w:val="00434B07"/>
    <w:rsid w:val="00435462"/>
    <w:rsid w:val="004363EC"/>
    <w:rsid w:val="00442B34"/>
    <w:rsid w:val="00467CBD"/>
    <w:rsid w:val="00477405"/>
    <w:rsid w:val="0049070E"/>
    <w:rsid w:val="004C3611"/>
    <w:rsid w:val="004C6F21"/>
    <w:rsid w:val="004E2610"/>
    <w:rsid w:val="004E3A24"/>
    <w:rsid w:val="005079A8"/>
    <w:rsid w:val="005326F4"/>
    <w:rsid w:val="0053516B"/>
    <w:rsid w:val="0058425F"/>
    <w:rsid w:val="00597B2E"/>
    <w:rsid w:val="005A23D8"/>
    <w:rsid w:val="005A50C9"/>
    <w:rsid w:val="005F0021"/>
    <w:rsid w:val="005F03D6"/>
    <w:rsid w:val="005F5A4F"/>
    <w:rsid w:val="00617425"/>
    <w:rsid w:val="00626DBF"/>
    <w:rsid w:val="0063163A"/>
    <w:rsid w:val="0069086F"/>
    <w:rsid w:val="0069234C"/>
    <w:rsid w:val="006A48A0"/>
    <w:rsid w:val="006C3636"/>
    <w:rsid w:val="006C6370"/>
    <w:rsid w:val="006C78C0"/>
    <w:rsid w:val="006D2001"/>
    <w:rsid w:val="007005FB"/>
    <w:rsid w:val="00716F07"/>
    <w:rsid w:val="007207D4"/>
    <w:rsid w:val="007304E5"/>
    <w:rsid w:val="00754973"/>
    <w:rsid w:val="00754D14"/>
    <w:rsid w:val="00757F29"/>
    <w:rsid w:val="007628E0"/>
    <w:rsid w:val="00762C05"/>
    <w:rsid w:val="00763FE5"/>
    <w:rsid w:val="007759A8"/>
    <w:rsid w:val="0077750D"/>
    <w:rsid w:val="00783158"/>
    <w:rsid w:val="00783715"/>
    <w:rsid w:val="00795A6C"/>
    <w:rsid w:val="00795FAE"/>
    <w:rsid w:val="0079799D"/>
    <w:rsid w:val="007D6665"/>
    <w:rsid w:val="007E3646"/>
    <w:rsid w:val="007E5240"/>
    <w:rsid w:val="007F2498"/>
    <w:rsid w:val="0080282A"/>
    <w:rsid w:val="0082643B"/>
    <w:rsid w:val="00860AA4"/>
    <w:rsid w:val="00872240"/>
    <w:rsid w:val="00875FB4"/>
    <w:rsid w:val="00877C15"/>
    <w:rsid w:val="008A2369"/>
    <w:rsid w:val="008B6E7D"/>
    <w:rsid w:val="008C1AAE"/>
    <w:rsid w:val="008E0964"/>
    <w:rsid w:val="00935A65"/>
    <w:rsid w:val="00977481"/>
    <w:rsid w:val="009862DF"/>
    <w:rsid w:val="00992136"/>
    <w:rsid w:val="009A4B8A"/>
    <w:rsid w:val="009B3C12"/>
    <w:rsid w:val="009C7287"/>
    <w:rsid w:val="009C75E9"/>
    <w:rsid w:val="009F3DAD"/>
    <w:rsid w:val="00A0779E"/>
    <w:rsid w:val="00A125C5"/>
    <w:rsid w:val="00A22C23"/>
    <w:rsid w:val="00A26A50"/>
    <w:rsid w:val="00A337F2"/>
    <w:rsid w:val="00A34FE3"/>
    <w:rsid w:val="00A372D1"/>
    <w:rsid w:val="00A510A1"/>
    <w:rsid w:val="00A54B3A"/>
    <w:rsid w:val="00A669C2"/>
    <w:rsid w:val="00AA683B"/>
    <w:rsid w:val="00AC7064"/>
    <w:rsid w:val="00AD09DB"/>
    <w:rsid w:val="00AD2849"/>
    <w:rsid w:val="00AD5252"/>
    <w:rsid w:val="00AD57C0"/>
    <w:rsid w:val="00AE7419"/>
    <w:rsid w:val="00AF6876"/>
    <w:rsid w:val="00B20404"/>
    <w:rsid w:val="00B31677"/>
    <w:rsid w:val="00B42A6E"/>
    <w:rsid w:val="00B46214"/>
    <w:rsid w:val="00B77C6A"/>
    <w:rsid w:val="00B908CC"/>
    <w:rsid w:val="00BA5142"/>
    <w:rsid w:val="00BB339F"/>
    <w:rsid w:val="00BB3BBC"/>
    <w:rsid w:val="00BB6232"/>
    <w:rsid w:val="00BD20F7"/>
    <w:rsid w:val="00BD7521"/>
    <w:rsid w:val="00BE28EB"/>
    <w:rsid w:val="00BE5930"/>
    <w:rsid w:val="00C144F2"/>
    <w:rsid w:val="00C31183"/>
    <w:rsid w:val="00C51B4F"/>
    <w:rsid w:val="00C52DBE"/>
    <w:rsid w:val="00C7443D"/>
    <w:rsid w:val="00C75B77"/>
    <w:rsid w:val="00C97C9D"/>
    <w:rsid w:val="00CA159C"/>
    <w:rsid w:val="00CC37A0"/>
    <w:rsid w:val="00D03201"/>
    <w:rsid w:val="00D253C1"/>
    <w:rsid w:val="00D33117"/>
    <w:rsid w:val="00D41C82"/>
    <w:rsid w:val="00D45AD0"/>
    <w:rsid w:val="00D50E66"/>
    <w:rsid w:val="00D53400"/>
    <w:rsid w:val="00D54B6B"/>
    <w:rsid w:val="00D9548A"/>
    <w:rsid w:val="00DB0013"/>
    <w:rsid w:val="00DB28C6"/>
    <w:rsid w:val="00DB4597"/>
    <w:rsid w:val="00DB53F4"/>
    <w:rsid w:val="00DC0F0F"/>
    <w:rsid w:val="00DD75D2"/>
    <w:rsid w:val="00DF1057"/>
    <w:rsid w:val="00E07A61"/>
    <w:rsid w:val="00E167DF"/>
    <w:rsid w:val="00E377CF"/>
    <w:rsid w:val="00E56288"/>
    <w:rsid w:val="00E71B37"/>
    <w:rsid w:val="00E71B6E"/>
    <w:rsid w:val="00E964A8"/>
    <w:rsid w:val="00EE3F06"/>
    <w:rsid w:val="00EE5E62"/>
    <w:rsid w:val="00EE640F"/>
    <w:rsid w:val="00F00DE4"/>
    <w:rsid w:val="00F45C9D"/>
    <w:rsid w:val="00F47209"/>
    <w:rsid w:val="00F83452"/>
    <w:rsid w:val="00FA1FF0"/>
    <w:rsid w:val="00FA313F"/>
    <w:rsid w:val="00FC6AA7"/>
    <w:rsid w:val="00FE4F0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D1A8FF"/>
  <w15:docId w15:val="{AA8E63BD-4FD2-4317-AAAD-CB3724C6C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876"/>
    <w:pPr>
      <w:spacing w:after="240"/>
    </w:pPr>
    <w:rPr>
      <w:rFonts w:ascii="Segoe UI" w:hAnsi="Segoe UI"/>
      <w:szCs w:val="24"/>
    </w:rPr>
  </w:style>
  <w:style w:type="paragraph" w:styleId="Heading1">
    <w:name w:val="heading 1"/>
    <w:next w:val="Normal"/>
    <w:link w:val="Heading1Char"/>
    <w:uiPriority w:val="9"/>
    <w:qFormat/>
    <w:rsid w:val="00A510A1"/>
    <w:pPr>
      <w:keepNext/>
      <w:keepLines/>
      <w:numPr>
        <w:numId w:val="7"/>
      </w:numPr>
      <w:spacing w:after="120"/>
      <w:ind w:left="720" w:hanging="720"/>
      <w:outlineLvl w:val="0"/>
    </w:pPr>
    <w:rPr>
      <w:rFonts w:ascii="Century Gothic" w:eastAsiaTheme="majorEastAsia" w:hAnsi="Century Gothic" w:cstheme="majorBidi"/>
      <w:b/>
      <w:bCs/>
      <w:sz w:val="28"/>
      <w:szCs w:val="36"/>
    </w:rPr>
  </w:style>
  <w:style w:type="paragraph" w:styleId="Heading2">
    <w:name w:val="heading 2"/>
    <w:basedOn w:val="Normal"/>
    <w:next w:val="Normal"/>
    <w:link w:val="Heading2Char"/>
    <w:uiPriority w:val="9"/>
    <w:unhideWhenUsed/>
    <w:qFormat/>
    <w:rsid w:val="00A510A1"/>
    <w:pPr>
      <w:keepNext/>
      <w:keepLines/>
      <w:numPr>
        <w:ilvl w:val="1"/>
        <w:numId w:val="7"/>
      </w:numPr>
      <w:spacing w:after="120"/>
      <w:ind w:left="720" w:hanging="720"/>
      <w:outlineLvl w:val="1"/>
    </w:pPr>
    <w:rPr>
      <w:rFonts w:ascii="Century Gothic" w:eastAsiaTheme="majorEastAsia" w:hAnsi="Century Gothic" w:cstheme="majorBidi"/>
      <w:b/>
      <w:bCs/>
      <w:sz w:val="24"/>
      <w:szCs w:val="28"/>
    </w:rPr>
  </w:style>
  <w:style w:type="paragraph" w:styleId="Heading3">
    <w:name w:val="heading 3"/>
    <w:basedOn w:val="Normal"/>
    <w:next w:val="Normal"/>
    <w:link w:val="Heading3Char"/>
    <w:uiPriority w:val="9"/>
    <w:unhideWhenUsed/>
    <w:qFormat/>
    <w:rsid w:val="00A510A1"/>
    <w:pPr>
      <w:keepNext/>
      <w:keepLines/>
      <w:numPr>
        <w:ilvl w:val="2"/>
        <w:numId w:val="7"/>
      </w:numPr>
      <w:spacing w:after="120"/>
      <w:ind w:left="864" w:hanging="864"/>
      <w:outlineLvl w:val="2"/>
    </w:pPr>
    <w:rPr>
      <w:rFonts w:ascii="Century Gothic" w:eastAsiaTheme="majorEastAsia" w:hAnsi="Century Gothic" w:cstheme="majorBidi"/>
      <w:b/>
      <w:bCs/>
      <w:sz w:val="22"/>
      <w:szCs w:val="26"/>
    </w:rPr>
  </w:style>
  <w:style w:type="paragraph" w:styleId="Heading4">
    <w:name w:val="heading 4"/>
    <w:basedOn w:val="Normal"/>
    <w:next w:val="Normal"/>
    <w:link w:val="Heading4Char"/>
    <w:uiPriority w:val="9"/>
    <w:unhideWhenUsed/>
    <w:qFormat/>
    <w:rsid w:val="007207D4"/>
    <w:pPr>
      <w:keepNext/>
      <w:keepLines/>
      <w:numPr>
        <w:ilvl w:val="3"/>
        <w:numId w:val="7"/>
      </w:numPr>
      <w:spacing w:after="120"/>
      <w:outlineLvl w:val="3"/>
    </w:pPr>
    <w:rPr>
      <w:rFonts w:ascii="Century Gothic" w:eastAsiaTheme="majorEastAsia" w:hAnsi="Century Gothic" w:cstheme="majorBidi"/>
      <w:b/>
      <w:bCs/>
      <w:iCs/>
    </w:rPr>
  </w:style>
  <w:style w:type="paragraph" w:styleId="Heading5">
    <w:name w:val="heading 5"/>
    <w:basedOn w:val="Normal"/>
    <w:next w:val="Normal"/>
    <w:link w:val="Heading5Char"/>
    <w:uiPriority w:val="9"/>
    <w:unhideWhenUsed/>
    <w:qFormat/>
    <w:rsid w:val="007207D4"/>
    <w:pPr>
      <w:keepNext/>
      <w:keepLines/>
      <w:spacing w:after="120"/>
      <w:outlineLvl w:val="4"/>
    </w:pPr>
    <w:rPr>
      <w:rFonts w:ascii="Century Gothic" w:eastAsiaTheme="majorEastAsia" w:hAnsi="Century Gothic" w:cstheme="majorBidi"/>
      <w:b/>
      <w:i/>
      <w:szCs w:val="22"/>
    </w:rPr>
  </w:style>
  <w:style w:type="paragraph" w:styleId="Heading6">
    <w:name w:val="heading 6"/>
    <w:next w:val="Normal"/>
    <w:link w:val="Heading6Char"/>
    <w:uiPriority w:val="9"/>
    <w:unhideWhenUsed/>
    <w:qFormat/>
    <w:rsid w:val="007207D4"/>
    <w:pPr>
      <w:outlineLvl w:val="5"/>
    </w:pPr>
    <w:rPr>
      <w:rFonts w:ascii="Century Gothic" w:eastAsia="Times New Roman" w:hAnsi="Century Gothic"/>
      <w:b/>
    </w:rPr>
  </w:style>
  <w:style w:type="paragraph" w:styleId="Heading7">
    <w:name w:val="heading 7"/>
    <w:basedOn w:val="Normal"/>
    <w:next w:val="Normal"/>
    <w:link w:val="Heading7Char"/>
    <w:uiPriority w:val="9"/>
    <w:unhideWhenUsed/>
    <w:qFormat/>
    <w:rsid w:val="0079799D"/>
    <w:pPr>
      <w:spacing w:before="240" w:after="60"/>
      <w:outlineLvl w:val="6"/>
    </w:pPr>
    <w:rPr>
      <w:rFonts w:ascii="Calibri" w:eastAsia="Times New Roman" w:hAnsi="Calibri"/>
      <w:sz w:val="24"/>
    </w:rPr>
  </w:style>
  <w:style w:type="paragraph" w:styleId="Heading9">
    <w:name w:val="heading 9"/>
    <w:basedOn w:val="Normal"/>
    <w:next w:val="Normal"/>
    <w:link w:val="Heading9Char"/>
    <w:uiPriority w:val="9"/>
    <w:semiHidden/>
    <w:unhideWhenUsed/>
    <w:qFormat/>
    <w:rsid w:val="007207D4"/>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3DAD"/>
    <w:pPr>
      <w:tabs>
        <w:tab w:val="center" w:pos="4320"/>
        <w:tab w:val="right" w:pos="8640"/>
      </w:tabs>
      <w:spacing w:after="360"/>
      <w:contextualSpacing/>
    </w:pPr>
    <w:rPr>
      <w:sz w:val="14"/>
    </w:rPr>
  </w:style>
  <w:style w:type="character" w:customStyle="1" w:styleId="HeaderChar">
    <w:name w:val="Header Char"/>
    <w:basedOn w:val="DefaultParagraphFont"/>
    <w:link w:val="Header"/>
    <w:uiPriority w:val="99"/>
    <w:rsid w:val="009F3DAD"/>
    <w:rPr>
      <w:rFonts w:ascii="Segoe UI" w:hAnsi="Segoe UI"/>
      <w:sz w:val="14"/>
      <w:szCs w:val="24"/>
    </w:rPr>
  </w:style>
  <w:style w:type="paragraph" w:styleId="Footer">
    <w:name w:val="footer"/>
    <w:basedOn w:val="Normal"/>
    <w:link w:val="FooterChar"/>
    <w:uiPriority w:val="99"/>
    <w:unhideWhenUsed/>
    <w:rsid w:val="000B2D40"/>
    <w:pPr>
      <w:tabs>
        <w:tab w:val="center" w:pos="4320"/>
        <w:tab w:val="right" w:pos="8640"/>
      </w:tabs>
    </w:pPr>
  </w:style>
  <w:style w:type="character" w:customStyle="1" w:styleId="FooterChar">
    <w:name w:val="Footer Char"/>
    <w:basedOn w:val="DefaultParagraphFont"/>
    <w:link w:val="Footer"/>
    <w:uiPriority w:val="99"/>
    <w:rsid w:val="000B2D40"/>
  </w:style>
  <w:style w:type="character" w:customStyle="1" w:styleId="Heading1Char">
    <w:name w:val="Heading 1 Char"/>
    <w:basedOn w:val="DefaultParagraphFont"/>
    <w:link w:val="Heading1"/>
    <w:uiPriority w:val="9"/>
    <w:rsid w:val="00A510A1"/>
    <w:rPr>
      <w:rFonts w:ascii="Century Gothic" w:eastAsiaTheme="majorEastAsia" w:hAnsi="Century Gothic" w:cstheme="majorBidi"/>
      <w:b/>
      <w:bCs/>
      <w:sz w:val="28"/>
      <w:szCs w:val="36"/>
    </w:rPr>
  </w:style>
  <w:style w:type="character" w:customStyle="1" w:styleId="Heading2Char">
    <w:name w:val="Heading 2 Char"/>
    <w:basedOn w:val="DefaultParagraphFont"/>
    <w:link w:val="Heading2"/>
    <w:uiPriority w:val="9"/>
    <w:rsid w:val="00A510A1"/>
    <w:rPr>
      <w:rFonts w:ascii="Century Gothic" w:eastAsiaTheme="majorEastAsia" w:hAnsi="Century Gothic" w:cstheme="majorBidi"/>
      <w:b/>
      <w:bCs/>
      <w:sz w:val="24"/>
      <w:szCs w:val="28"/>
    </w:rPr>
  </w:style>
  <w:style w:type="character" w:customStyle="1" w:styleId="Heading3Char">
    <w:name w:val="Heading 3 Char"/>
    <w:basedOn w:val="DefaultParagraphFont"/>
    <w:link w:val="Heading3"/>
    <w:uiPriority w:val="9"/>
    <w:rsid w:val="00A510A1"/>
    <w:rPr>
      <w:rFonts w:ascii="Century Gothic" w:eastAsiaTheme="majorEastAsia" w:hAnsi="Century Gothic" w:cstheme="majorBidi"/>
      <w:b/>
      <w:bCs/>
      <w:sz w:val="22"/>
      <w:szCs w:val="26"/>
    </w:rPr>
  </w:style>
  <w:style w:type="character" w:customStyle="1" w:styleId="Heading4Char">
    <w:name w:val="Heading 4 Char"/>
    <w:basedOn w:val="DefaultParagraphFont"/>
    <w:link w:val="Heading4"/>
    <w:uiPriority w:val="9"/>
    <w:rsid w:val="007207D4"/>
    <w:rPr>
      <w:rFonts w:ascii="Century Gothic" w:eastAsiaTheme="majorEastAsia" w:hAnsi="Century Gothic" w:cstheme="majorBidi"/>
      <w:b/>
      <w:bCs/>
      <w:iCs/>
      <w:szCs w:val="24"/>
    </w:rPr>
  </w:style>
  <w:style w:type="character" w:customStyle="1" w:styleId="Heading5Char">
    <w:name w:val="Heading 5 Char"/>
    <w:basedOn w:val="DefaultParagraphFont"/>
    <w:link w:val="Heading5"/>
    <w:uiPriority w:val="9"/>
    <w:rsid w:val="007207D4"/>
    <w:rPr>
      <w:rFonts w:ascii="Century Gothic" w:eastAsiaTheme="majorEastAsia" w:hAnsi="Century Gothic" w:cstheme="majorBidi"/>
      <w:b/>
      <w:i/>
      <w:szCs w:val="22"/>
    </w:rPr>
  </w:style>
  <w:style w:type="character" w:customStyle="1" w:styleId="Heading6Char">
    <w:name w:val="Heading 6 Char"/>
    <w:basedOn w:val="DefaultParagraphFont"/>
    <w:link w:val="Heading6"/>
    <w:uiPriority w:val="9"/>
    <w:rsid w:val="007207D4"/>
    <w:rPr>
      <w:rFonts w:ascii="Century Gothic" w:eastAsia="Times New Roman" w:hAnsi="Century Gothic"/>
      <w:b/>
    </w:rPr>
  </w:style>
  <w:style w:type="character" w:customStyle="1" w:styleId="Heading7Char">
    <w:name w:val="Heading 7 Char"/>
    <w:basedOn w:val="DefaultParagraphFont"/>
    <w:link w:val="Heading7"/>
    <w:uiPriority w:val="9"/>
    <w:rsid w:val="0079799D"/>
    <w:rPr>
      <w:rFonts w:ascii="Calibri" w:eastAsia="Times New Roman" w:hAnsi="Calibri" w:cs="Times New Roman"/>
      <w:sz w:val="24"/>
      <w:szCs w:val="24"/>
    </w:rPr>
  </w:style>
  <w:style w:type="paragraph" w:styleId="Date">
    <w:name w:val="Date"/>
    <w:basedOn w:val="Normal"/>
    <w:next w:val="Normal"/>
    <w:link w:val="DateChar"/>
    <w:uiPriority w:val="99"/>
    <w:unhideWhenUsed/>
    <w:rsid w:val="003059A0"/>
    <w:pPr>
      <w:spacing w:before="800" w:after="400"/>
    </w:pPr>
  </w:style>
  <w:style w:type="character" w:customStyle="1" w:styleId="DateChar">
    <w:name w:val="Date Char"/>
    <w:basedOn w:val="DefaultParagraphFont"/>
    <w:link w:val="Date"/>
    <w:uiPriority w:val="99"/>
    <w:rsid w:val="003059A0"/>
    <w:rPr>
      <w:rFonts w:ascii="Segoe UI" w:hAnsi="Segoe UI"/>
      <w:szCs w:val="24"/>
    </w:rPr>
  </w:style>
  <w:style w:type="paragraph" w:customStyle="1" w:styleId="AddressBlock">
    <w:name w:val="Address Block"/>
    <w:basedOn w:val="Normal"/>
    <w:qFormat/>
    <w:rsid w:val="003059A0"/>
    <w:pPr>
      <w:contextualSpacing/>
    </w:pPr>
  </w:style>
  <w:style w:type="paragraph" w:customStyle="1" w:styleId="Subject">
    <w:name w:val="Subject"/>
    <w:basedOn w:val="Normal"/>
    <w:qFormat/>
    <w:rsid w:val="003059A0"/>
    <w:pPr>
      <w:ind w:left="446" w:hanging="446"/>
    </w:pPr>
    <w:rPr>
      <w:rFonts w:ascii="Century Gothic" w:hAnsi="Century Gothic"/>
      <w:b/>
      <w:szCs w:val="20"/>
    </w:rPr>
  </w:style>
  <w:style w:type="paragraph" w:styleId="Salutation">
    <w:name w:val="Salutation"/>
    <w:basedOn w:val="Normal"/>
    <w:next w:val="Normal"/>
    <w:link w:val="SalutationChar"/>
    <w:uiPriority w:val="99"/>
    <w:unhideWhenUsed/>
    <w:rsid w:val="003059A0"/>
  </w:style>
  <w:style w:type="character" w:customStyle="1" w:styleId="SalutationChar">
    <w:name w:val="Salutation Char"/>
    <w:basedOn w:val="DefaultParagraphFont"/>
    <w:link w:val="Salutation"/>
    <w:uiPriority w:val="99"/>
    <w:rsid w:val="003059A0"/>
    <w:rPr>
      <w:rFonts w:ascii="Segoe UI" w:hAnsi="Segoe UI"/>
      <w:szCs w:val="24"/>
    </w:rPr>
  </w:style>
  <w:style w:type="paragraph" w:styleId="BalloonText">
    <w:name w:val="Balloon Text"/>
    <w:basedOn w:val="Normal"/>
    <w:link w:val="BalloonTextChar"/>
    <w:uiPriority w:val="99"/>
    <w:semiHidden/>
    <w:unhideWhenUsed/>
    <w:rsid w:val="00E71B6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1B6E"/>
    <w:rPr>
      <w:rFonts w:ascii="Tahoma" w:hAnsi="Tahoma" w:cs="Tahoma"/>
      <w:sz w:val="16"/>
      <w:szCs w:val="16"/>
    </w:rPr>
  </w:style>
  <w:style w:type="character" w:styleId="PlaceholderText">
    <w:name w:val="Placeholder Text"/>
    <w:basedOn w:val="DefaultParagraphFont"/>
    <w:uiPriority w:val="99"/>
    <w:semiHidden/>
    <w:rsid w:val="00E71B6E"/>
    <w:rPr>
      <w:color w:val="808080"/>
    </w:rPr>
  </w:style>
  <w:style w:type="paragraph" w:customStyle="1" w:styleId="Bulletslevel1">
    <w:name w:val="Bullets level 1"/>
    <w:qFormat/>
    <w:rsid w:val="00FC6AA7"/>
    <w:pPr>
      <w:numPr>
        <w:numId w:val="3"/>
      </w:numPr>
      <w:spacing w:after="120"/>
    </w:pPr>
    <w:rPr>
      <w:rFonts w:ascii="Segoe UI" w:eastAsiaTheme="minorHAnsi" w:hAnsi="Segoe UI" w:cs="Segoe UI"/>
    </w:rPr>
  </w:style>
  <w:style w:type="paragraph" w:customStyle="1" w:styleId="Bulletslevel2">
    <w:name w:val="Bullets level 2"/>
    <w:basedOn w:val="Bulletslevel1"/>
    <w:qFormat/>
    <w:rsid w:val="007207D4"/>
    <w:pPr>
      <w:numPr>
        <w:ilvl w:val="1"/>
      </w:numPr>
    </w:pPr>
  </w:style>
  <w:style w:type="paragraph" w:customStyle="1" w:styleId="Bulletslevel3">
    <w:name w:val="Bullets level 3"/>
    <w:basedOn w:val="Bulletslevel2"/>
    <w:qFormat/>
    <w:rsid w:val="00FC6AA7"/>
    <w:pPr>
      <w:numPr>
        <w:ilvl w:val="2"/>
      </w:numPr>
    </w:pPr>
  </w:style>
  <w:style w:type="paragraph" w:styleId="Caption">
    <w:name w:val="caption"/>
    <w:basedOn w:val="Heading9"/>
    <w:next w:val="Normal"/>
    <w:uiPriority w:val="35"/>
    <w:unhideWhenUsed/>
    <w:qFormat/>
    <w:rsid w:val="001C7AF7"/>
    <w:pPr>
      <w:numPr>
        <w:ilvl w:val="0"/>
        <w:numId w:val="0"/>
      </w:numPr>
      <w:spacing w:before="0" w:after="200"/>
      <w:ind w:left="1008" w:hanging="1008"/>
    </w:pPr>
    <w:rPr>
      <w:rFonts w:ascii="Century Gothic" w:hAnsi="Century Gothic"/>
      <w:b/>
      <w:bCs/>
      <w:i w:val="0"/>
      <w:color w:val="000000" w:themeColor="text1"/>
      <w:szCs w:val="18"/>
    </w:rPr>
  </w:style>
  <w:style w:type="character" w:customStyle="1" w:styleId="Heading9Char">
    <w:name w:val="Heading 9 Char"/>
    <w:basedOn w:val="DefaultParagraphFont"/>
    <w:link w:val="Heading9"/>
    <w:uiPriority w:val="9"/>
    <w:semiHidden/>
    <w:rsid w:val="007207D4"/>
    <w:rPr>
      <w:rFonts w:asciiTheme="majorHAnsi" w:eastAsiaTheme="majorEastAsia" w:hAnsiTheme="majorHAnsi" w:cstheme="majorBidi"/>
      <w:i/>
      <w:iCs/>
      <w:color w:val="404040" w:themeColor="text1" w:themeTint="BF"/>
    </w:rPr>
  </w:style>
  <w:style w:type="paragraph" w:customStyle="1" w:styleId="Certification">
    <w:name w:val="Certification"/>
    <w:basedOn w:val="Normal"/>
    <w:qFormat/>
    <w:rsid w:val="007207D4"/>
    <w:pPr>
      <w:spacing w:before="40" w:after="40"/>
    </w:pPr>
    <w:rPr>
      <w:rFonts w:eastAsiaTheme="minorHAnsi" w:cs="Segoe UI"/>
      <w:szCs w:val="20"/>
    </w:rPr>
  </w:style>
  <w:style w:type="paragraph" w:customStyle="1" w:styleId="FigureAlignment">
    <w:name w:val="Figure Alignment"/>
    <w:basedOn w:val="Normal"/>
    <w:next w:val="Normal"/>
    <w:qFormat/>
    <w:rsid w:val="001A0263"/>
    <w:pPr>
      <w:keepNext/>
      <w:keepLines/>
      <w:spacing w:after="0"/>
    </w:pPr>
    <w:rPr>
      <w:rFonts w:eastAsiaTheme="minorHAnsi" w:cs="Segoe UI"/>
      <w:noProof/>
      <w:sz w:val="16"/>
      <w:szCs w:val="20"/>
    </w:rPr>
  </w:style>
  <w:style w:type="paragraph" w:customStyle="1" w:styleId="FigureFootnote">
    <w:name w:val="Figure Footnote"/>
    <w:basedOn w:val="Normal"/>
    <w:qFormat/>
    <w:rsid w:val="001A0263"/>
    <w:pPr>
      <w:keepNext/>
      <w:spacing w:after="120"/>
      <w:jc w:val="right"/>
    </w:pPr>
    <w:rPr>
      <w:rFonts w:eastAsiaTheme="minorHAnsi" w:cs="Segoe UI"/>
      <w:sz w:val="16"/>
      <w:szCs w:val="20"/>
    </w:rPr>
  </w:style>
  <w:style w:type="paragraph" w:customStyle="1" w:styleId="FlysheetLine1">
    <w:name w:val="Flysheet Line 1"/>
    <w:next w:val="Normal"/>
    <w:qFormat/>
    <w:rsid w:val="007207D4"/>
    <w:pPr>
      <w:spacing w:after="320" w:line="276" w:lineRule="auto"/>
      <w:jc w:val="right"/>
    </w:pPr>
    <w:rPr>
      <w:rFonts w:ascii="Century Gothic" w:eastAsiaTheme="minorHAnsi" w:hAnsi="Century Gothic" w:cs="Segoe UI"/>
      <w:b/>
      <w:sz w:val="24"/>
      <w:szCs w:val="36"/>
    </w:rPr>
  </w:style>
  <w:style w:type="paragraph" w:customStyle="1" w:styleId="FlysheetLine2">
    <w:name w:val="Flysheet Line 2"/>
    <w:next w:val="Normal"/>
    <w:qFormat/>
    <w:rsid w:val="007207D4"/>
    <w:pPr>
      <w:spacing w:after="280" w:line="276" w:lineRule="auto"/>
      <w:jc w:val="right"/>
    </w:pPr>
    <w:rPr>
      <w:rFonts w:ascii="Century Gothic" w:eastAsiaTheme="minorHAnsi" w:hAnsi="Century Gothic" w:cs="Segoe UI"/>
      <w:b/>
      <w:sz w:val="22"/>
      <w:szCs w:val="28"/>
    </w:rPr>
  </w:style>
  <w:style w:type="paragraph" w:customStyle="1" w:styleId="FlysheetLine3">
    <w:name w:val="Flysheet Line 3"/>
    <w:basedOn w:val="FlysheetLine2"/>
    <w:next w:val="Normal"/>
    <w:qFormat/>
    <w:rsid w:val="007207D4"/>
    <w:pPr>
      <w:spacing w:after="0" w:line="240" w:lineRule="auto"/>
    </w:pPr>
    <w:rPr>
      <w:sz w:val="20"/>
      <w:szCs w:val="24"/>
    </w:rPr>
  </w:style>
  <w:style w:type="paragraph" w:customStyle="1" w:styleId="TableFootnote">
    <w:name w:val="Table Footnote"/>
    <w:basedOn w:val="Normal"/>
    <w:qFormat/>
    <w:rsid w:val="00AF6876"/>
    <w:pPr>
      <w:keepLines/>
      <w:spacing w:before="60" w:after="300"/>
      <w:ind w:left="403" w:hanging="403"/>
      <w:contextualSpacing/>
    </w:pPr>
    <w:rPr>
      <w:rFonts w:eastAsiaTheme="minorHAnsi" w:cs="Segoe UI"/>
      <w:bCs/>
      <w:sz w:val="16"/>
      <w:szCs w:val="20"/>
    </w:rPr>
  </w:style>
  <w:style w:type="table" w:styleId="TableGrid">
    <w:name w:val="Table Grid"/>
    <w:basedOn w:val="TableNormal"/>
    <w:uiPriority w:val="59"/>
    <w:rsid w:val="00C31183"/>
    <w:rPr>
      <w:rFonts w:ascii="Segoe UI" w:eastAsiaTheme="minorHAnsi" w:hAnsi="Segoe UI" w:cstheme="minorBidi"/>
      <w:sz w:val="1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cantSplit/>
      </w:trPr>
      <w:tcPr>
        <w:vAlign w:val="bottom"/>
      </w:tcPr>
    </w:tblStylePr>
  </w:style>
  <w:style w:type="paragraph" w:customStyle="1" w:styleId="TableHeading">
    <w:name w:val="Table Heading"/>
    <w:basedOn w:val="Normal"/>
    <w:qFormat/>
    <w:rsid w:val="00D50E66"/>
    <w:pPr>
      <w:keepLines/>
      <w:spacing w:after="0"/>
    </w:pPr>
    <w:rPr>
      <w:rFonts w:eastAsiaTheme="minorHAnsi" w:cs="Segoe UI"/>
      <w:b/>
      <w:sz w:val="18"/>
      <w:szCs w:val="20"/>
    </w:rPr>
  </w:style>
  <w:style w:type="paragraph" w:styleId="TableofFigures">
    <w:name w:val="table of figures"/>
    <w:basedOn w:val="Normal"/>
    <w:next w:val="Normal"/>
    <w:uiPriority w:val="99"/>
    <w:unhideWhenUsed/>
    <w:rsid w:val="00AF6876"/>
    <w:pPr>
      <w:spacing w:after="0" w:line="276" w:lineRule="auto"/>
      <w:ind w:left="1440" w:hanging="1440"/>
    </w:pPr>
    <w:rPr>
      <w:rFonts w:eastAsiaTheme="minorHAnsi" w:cs="Segoe UI"/>
      <w:szCs w:val="20"/>
    </w:rPr>
  </w:style>
  <w:style w:type="paragraph" w:customStyle="1" w:styleId="TableText">
    <w:name w:val="Table Text"/>
    <w:basedOn w:val="Normal"/>
    <w:qFormat/>
    <w:rsid w:val="00AF6876"/>
    <w:pPr>
      <w:spacing w:after="0"/>
    </w:pPr>
    <w:rPr>
      <w:rFonts w:eastAsiaTheme="minorHAnsi" w:cs="Segoe UI"/>
      <w:bCs/>
      <w:sz w:val="18"/>
      <w:szCs w:val="20"/>
    </w:rPr>
  </w:style>
  <w:style w:type="paragraph" w:customStyle="1" w:styleId="Office">
    <w:name w:val="Office"/>
    <w:basedOn w:val="Normal"/>
    <w:link w:val="OfficeChar"/>
    <w:qFormat/>
    <w:rsid w:val="00054F50"/>
    <w:pPr>
      <w:spacing w:after="0"/>
      <w:jc w:val="center"/>
    </w:pPr>
    <w:rPr>
      <w:rFonts w:ascii="Century Gothic" w:eastAsiaTheme="minorHAnsi" w:hAnsi="Century Gothic" w:cs="Segoe UI"/>
      <w:sz w:val="16"/>
      <w:szCs w:val="16"/>
    </w:rPr>
  </w:style>
  <w:style w:type="character" w:styleId="Hyperlink">
    <w:name w:val="Hyperlink"/>
    <w:basedOn w:val="DefaultParagraphFont"/>
    <w:uiPriority w:val="99"/>
    <w:unhideWhenUsed/>
    <w:rsid w:val="006C3636"/>
    <w:rPr>
      <w:color w:val="005C97" w:themeColor="hyperlink"/>
      <w:u w:val="single"/>
    </w:rPr>
  </w:style>
  <w:style w:type="paragraph" w:customStyle="1" w:styleId="Barrletterheadaddress">
    <w:name w:val="Barr letterhead address"/>
    <w:basedOn w:val="Office"/>
    <w:link w:val="BarrletterheadaddressChar"/>
    <w:qFormat/>
    <w:rsid w:val="0049070E"/>
    <w:rPr>
      <w:sz w:val="18"/>
    </w:rPr>
  </w:style>
  <w:style w:type="character" w:customStyle="1" w:styleId="OfficeChar">
    <w:name w:val="Office Char"/>
    <w:basedOn w:val="DefaultParagraphFont"/>
    <w:link w:val="Office"/>
    <w:rsid w:val="00054F50"/>
    <w:rPr>
      <w:rFonts w:ascii="Century Gothic" w:eastAsiaTheme="minorHAnsi" w:hAnsi="Century Gothic" w:cs="Segoe UI"/>
      <w:sz w:val="16"/>
      <w:szCs w:val="16"/>
    </w:rPr>
  </w:style>
  <w:style w:type="character" w:customStyle="1" w:styleId="BarrletterheadaddressChar">
    <w:name w:val="Barr letterhead address Char"/>
    <w:basedOn w:val="OfficeChar"/>
    <w:link w:val="Barrletterheadaddress"/>
    <w:rsid w:val="0049070E"/>
    <w:rPr>
      <w:rFonts w:ascii="Century Gothic" w:eastAsiaTheme="minorHAnsi" w:hAnsi="Century Gothic" w:cs="Segoe UI"/>
      <w:sz w:val="18"/>
      <w:szCs w:val="16"/>
    </w:rPr>
  </w:style>
  <w:style w:type="paragraph" w:customStyle="1" w:styleId="SignatureBlock">
    <w:name w:val="Signature Block"/>
    <w:basedOn w:val="Normal"/>
    <w:qFormat/>
    <w:rsid w:val="001C7AF7"/>
    <w:pPr>
      <w:tabs>
        <w:tab w:val="left" w:pos="4320"/>
        <w:tab w:val="left" w:pos="4680"/>
        <w:tab w:val="left" w:pos="8640"/>
      </w:tabs>
      <w:spacing w:before="720"/>
      <w:contextualSpacing/>
    </w:pPr>
  </w:style>
  <w:style w:type="table" w:customStyle="1" w:styleId="Barrbandedcolor">
    <w:name w:val="Barr banded color"/>
    <w:basedOn w:val="TableNormal"/>
    <w:uiPriority w:val="99"/>
    <w:rsid w:val="003642FC"/>
    <w:rPr>
      <w:rFonts w:ascii="Segoe UI" w:hAnsi="Segoe UI"/>
      <w:sz w:val="18"/>
    </w:rPr>
    <w:tblPr>
      <w:tblStyleRowBandSize w:val="1"/>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Pr>
    <w:trPr>
      <w:cantSplit/>
    </w:trPr>
    <w:tblStylePr w:type="firstRow">
      <w:pPr>
        <w:keepNext/>
        <w:keepLines/>
        <w:wordWrap/>
        <w:spacing w:beforeLines="0" w:before="40" w:beforeAutospacing="0" w:afterLines="0" w:after="40" w:afterAutospacing="0" w:line="240" w:lineRule="auto"/>
        <w:ind w:leftChars="0" w:left="0" w:rightChars="0" w:right="0" w:firstLineChars="0" w:firstLine="0"/>
        <w:contextualSpacing w:val="0"/>
        <w:jc w:val="center"/>
      </w:pPr>
      <w:rPr>
        <w:rFonts w:ascii="Segoe UI" w:hAnsi="Segoe UI"/>
        <w:b/>
        <w:color w:val="FFFFFF" w:themeColor="background1"/>
        <w:sz w:val="18"/>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91963C" w:themeFill="accent2"/>
        <w:vAlign w:val="bottom"/>
      </w:tcPr>
    </w:tblStylePr>
    <w:tblStylePr w:type="lastRow">
      <w:pPr>
        <w:keepNext w:val="0"/>
        <w:keepLines/>
        <w:wordWrap/>
        <w:spacing w:beforeLines="0" w:before="40" w:beforeAutospacing="0" w:afterLines="0" w:after="300" w:afterAutospacing="0" w:line="240" w:lineRule="auto"/>
        <w:ind w:leftChars="0" w:left="720" w:rightChars="0" w:right="0" w:firstLineChars="0" w:hanging="720"/>
        <w:contextualSpacing/>
        <w:jc w:val="left"/>
      </w:pPr>
      <w:rPr>
        <w:rFonts w:ascii="Segoe UI" w:hAnsi="Segoe UI"/>
        <w:sz w:val="16"/>
      </w:rPr>
      <w:tblPr/>
      <w:trPr>
        <w:cantSplit/>
      </w:trPr>
      <w:tcPr>
        <w:tcBorders>
          <w:top w:val="nil"/>
          <w:left w:val="nil"/>
          <w:bottom w:val="nil"/>
          <w:right w:val="nil"/>
          <w:insideH w:val="nil"/>
          <w:insideV w:val="nil"/>
          <w:tl2br w:val="nil"/>
          <w:tr2bl w:val="nil"/>
        </w:tcBorders>
      </w:tcPr>
    </w:tblStylePr>
    <w:tblStylePr w:type="band1Horz">
      <w:pPr>
        <w:keepNext/>
        <w:keepLines/>
        <w:wordWrap/>
        <w:spacing w:beforeLines="0" w:before="40" w:beforeAutospacing="0" w:afterLines="0" w:after="40" w:afterAutospacing="0" w:line="240" w:lineRule="auto"/>
        <w:ind w:leftChars="0" w:left="0" w:rightChars="0" w:right="0" w:firstLineChars="0" w:firstLine="0"/>
        <w:contextualSpacing w:val="0"/>
        <w:jc w:val="left"/>
      </w:pPr>
      <w:rPr>
        <w:rFonts w:ascii="Segoe UI" w:hAnsi="Segoe UI"/>
        <w:sz w:val="18"/>
      </w:rPr>
      <w:tblPr/>
      <w:tcPr>
        <w:shd w:val="clear" w:color="auto" w:fill="FFFFFF" w:themeFill="background1"/>
      </w:tcPr>
    </w:tblStylePr>
    <w:tblStylePr w:type="band2Horz">
      <w:pPr>
        <w:keepNext/>
        <w:keepLines/>
        <w:wordWrap/>
        <w:spacing w:beforeLines="0" w:before="40" w:beforeAutospacing="0" w:afterLines="0" w:after="40" w:afterAutospacing="0" w:line="240" w:lineRule="auto"/>
        <w:ind w:leftChars="0" w:left="0" w:rightChars="0" w:right="0" w:firstLineChars="0" w:firstLine="0"/>
        <w:contextualSpacing w:val="0"/>
        <w:jc w:val="left"/>
      </w:pPr>
      <w:rPr>
        <w:rFonts w:ascii="Segoe UI" w:hAnsi="Segoe UI"/>
        <w:sz w:val="18"/>
      </w:rPr>
      <w:tblPr/>
      <w:tcPr>
        <w:shd w:val="clear" w:color="auto" w:fill="D9DCA9" w:themeFill="accent2" w:themeFillTint="66"/>
      </w:tcPr>
    </w:tblStylePr>
  </w:style>
  <w:style w:type="paragraph" w:customStyle="1" w:styleId="TableBullet">
    <w:name w:val="Table Bullet"/>
    <w:basedOn w:val="TableText"/>
    <w:qFormat/>
    <w:rsid w:val="001A0263"/>
    <w:pPr>
      <w:keepNext/>
      <w:numPr>
        <w:numId w:val="18"/>
      </w:numPr>
      <w:spacing w:before="40" w:after="40"/>
    </w:pPr>
    <w:rPr>
      <w:bCs w:val="0"/>
    </w:rPr>
  </w:style>
  <w:style w:type="paragraph" w:customStyle="1" w:styleId="Bibliography-manuallist">
    <w:name w:val="Bibliography-manual list"/>
    <w:basedOn w:val="Bibliography"/>
    <w:qFormat/>
    <w:rsid w:val="001A0263"/>
    <w:pPr>
      <w:ind w:left="720" w:hanging="720"/>
    </w:pPr>
    <w:rPr>
      <w:rFonts w:eastAsiaTheme="minorHAnsi" w:cs="Segoe UI"/>
      <w:szCs w:val="20"/>
    </w:rPr>
  </w:style>
  <w:style w:type="paragraph" w:styleId="Bibliography">
    <w:name w:val="Bibliography"/>
    <w:basedOn w:val="Normal"/>
    <w:next w:val="Normal"/>
    <w:uiPriority w:val="37"/>
    <w:semiHidden/>
    <w:unhideWhenUsed/>
    <w:rsid w:val="001A0263"/>
  </w:style>
  <w:style w:type="paragraph" w:customStyle="1" w:styleId="Equationwhere">
    <w:name w:val="Equation &quot;where&quot;"/>
    <w:basedOn w:val="Normal"/>
    <w:qFormat/>
    <w:rsid w:val="001A0263"/>
    <w:pPr>
      <w:keepNext/>
      <w:spacing w:after="0" w:line="276" w:lineRule="auto"/>
    </w:pPr>
    <w:rPr>
      <w:rFonts w:eastAsiaTheme="minorHAnsi" w:cs="Segoe UI"/>
      <w:szCs w:val="20"/>
    </w:rPr>
  </w:style>
  <w:style w:type="paragraph" w:customStyle="1" w:styleId="Equationbreakdown">
    <w:name w:val="Equation breakdown"/>
    <w:basedOn w:val="Normal"/>
    <w:qFormat/>
    <w:rsid w:val="001A0263"/>
    <w:pPr>
      <w:keepLines/>
      <w:spacing w:line="276" w:lineRule="auto"/>
      <w:ind w:left="720"/>
      <w:contextualSpacing/>
    </w:pPr>
    <w:rPr>
      <w:rFonts w:eastAsiaTheme="minorHAnsi" w:cs="Segoe UI"/>
      <w:szCs w:val="20"/>
    </w:rPr>
  </w:style>
  <w:style w:type="table" w:styleId="MediumShading1-Accent1">
    <w:name w:val="Medium Shading 1 Accent 1"/>
    <w:aliases w:val="Barr table banded"/>
    <w:basedOn w:val="TableNormal"/>
    <w:uiPriority w:val="63"/>
    <w:rsid w:val="001A0263"/>
    <w:rPr>
      <w:rFonts w:ascii="Segoe UI" w:eastAsiaTheme="minorHAnsi" w:hAnsi="Segoe UI" w:cs="Segoe UI"/>
      <w:sz w:val="18"/>
    </w:rPr>
    <w:tblPr>
      <w:tblStyleRowBandSize w:val="1"/>
      <w:tblInd w:w="58" w:type="dxa"/>
      <w:tblBorders>
        <w:top w:val="single" w:sz="8" w:space="0" w:color="0090F0" w:themeColor="accent1" w:themeTint="BF"/>
        <w:left w:val="single" w:sz="8" w:space="0" w:color="0090F0" w:themeColor="accent1" w:themeTint="BF"/>
        <w:bottom w:val="single" w:sz="8" w:space="0" w:color="0090F0" w:themeColor="accent1" w:themeTint="BF"/>
        <w:right w:val="single" w:sz="8" w:space="0" w:color="0090F0" w:themeColor="accent1" w:themeTint="BF"/>
        <w:insideH w:val="single" w:sz="8" w:space="0" w:color="0090F0" w:themeColor="accent1" w:themeTint="BF"/>
      </w:tblBorders>
      <w:tblCellMar>
        <w:top w:w="29" w:type="dxa"/>
        <w:left w:w="115" w:type="dxa"/>
        <w:bottom w:w="29" w:type="dxa"/>
        <w:right w:w="115" w:type="dxa"/>
      </w:tblCellMar>
    </w:tblPr>
    <w:trPr>
      <w:cantSplit/>
    </w:trPr>
    <w:tcPr>
      <w:vAlign w:val="center"/>
    </w:tcPr>
    <w:tblStylePr w:type="firstRow">
      <w:pPr>
        <w:keepNext/>
        <w:keepLines/>
        <w:wordWrap/>
        <w:spacing w:beforeLines="0" w:before="40" w:beforeAutospacing="0" w:afterLines="0" w:after="40" w:afterAutospacing="0" w:line="240" w:lineRule="auto"/>
        <w:contextualSpacing/>
        <w:jc w:val="center"/>
      </w:pPr>
      <w:rPr>
        <w:rFonts w:ascii="Segoe UI" w:hAnsi="Segoe UI"/>
        <w:b/>
        <w:bCs/>
        <w:color w:val="FFFFFF" w:themeColor="background1"/>
        <w:sz w:val="18"/>
      </w:rPr>
      <w:tblPr>
        <w:tblCellMar>
          <w:top w:w="29" w:type="dxa"/>
          <w:left w:w="14" w:type="dxa"/>
          <w:bottom w:w="29" w:type="dxa"/>
          <w:right w:w="14" w:type="dxa"/>
        </w:tblCellMar>
      </w:tblPr>
      <w:trPr>
        <w:cantSplit w:val="0"/>
      </w:trPr>
      <w:tcPr>
        <w:tcBorders>
          <w:top w:val="single" w:sz="6" w:space="0" w:color="auto"/>
          <w:left w:val="single" w:sz="6" w:space="0" w:color="auto"/>
          <w:bottom w:val="single" w:sz="6" w:space="0" w:color="auto"/>
          <w:right w:val="single" w:sz="6" w:space="0" w:color="auto"/>
          <w:insideH w:val="single" w:sz="6" w:space="0" w:color="auto"/>
          <w:insideV w:val="single" w:sz="6" w:space="0" w:color="auto"/>
        </w:tcBorders>
        <w:shd w:val="clear" w:color="auto" w:fill="91963C" w:themeFill="accent2"/>
        <w:vAlign w:val="bottom"/>
      </w:tcPr>
    </w:tblStylePr>
    <w:tblStylePr w:type="lastRow">
      <w:pPr>
        <w:keepNext w:val="0"/>
        <w:keepLines/>
        <w:wordWrap/>
        <w:spacing w:beforeLines="0" w:before="60" w:beforeAutospacing="0" w:afterLines="0" w:after="300" w:afterAutospacing="0" w:line="240" w:lineRule="auto"/>
        <w:contextualSpacing/>
        <w:jc w:val="left"/>
      </w:pPr>
      <w:rPr>
        <w:rFonts w:ascii="Segoe UI" w:hAnsi="Segoe UI"/>
        <w:b w:val="0"/>
        <w:bCs/>
        <w:sz w:val="16"/>
      </w:rPr>
      <w:tblPr>
        <w:tblCellMar>
          <w:top w:w="29" w:type="dxa"/>
          <w:left w:w="29" w:type="dxa"/>
          <w:bottom w:w="29" w:type="dxa"/>
          <w:right w:w="29" w:type="dxa"/>
        </w:tblCellMar>
      </w:tblPr>
      <w:trPr>
        <w:cantSplit w:val="0"/>
      </w:trPr>
      <w:tcPr>
        <w:tcBorders>
          <w:top w:val="nil"/>
          <w:left w:val="nil"/>
          <w:bottom w:val="nil"/>
          <w:right w:val="nil"/>
          <w:insideH w:val="nil"/>
          <w:insideV w:val="nil"/>
          <w:tl2br w:val="nil"/>
          <w:tr2bl w:val="nil"/>
        </w:tcBorders>
      </w:tcPr>
    </w:tblStylePr>
    <w:tblStylePr w:type="firstCol">
      <w:pPr>
        <w:wordWrap/>
        <w:jc w:val="left"/>
      </w:pPr>
      <w:rPr>
        <w:b w:val="0"/>
        <w:bCs/>
      </w:rPr>
    </w:tblStylePr>
    <w:tblStylePr w:type="lastCol">
      <w:rPr>
        <w:b w:val="0"/>
        <w:bCs/>
      </w:rPr>
    </w:tblStylePr>
    <w:tblStylePr w:type="band1Horz">
      <w:pPr>
        <w:keepNext/>
        <w:keepLines w:val="0"/>
        <w:wordWrap/>
        <w:spacing w:beforeLines="0" w:before="0" w:beforeAutospacing="0" w:afterLines="0" w:after="0" w:afterAutospacing="0" w:line="240" w:lineRule="auto"/>
        <w:contextualSpacing w:val="0"/>
        <w:jc w:val="left"/>
      </w:pPr>
      <w:rPr>
        <w:rFonts w:ascii="Segoe UI" w:hAnsi="Segoe UI"/>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Horz">
      <w:pPr>
        <w:keepNext/>
        <w:wordWrap/>
        <w:spacing w:beforeLines="0" w:before="0" w:beforeAutospacing="0" w:afterLines="0" w:after="0" w:afterAutospacing="0" w:line="240" w:lineRule="auto"/>
        <w:contextualSpacing w:val="0"/>
        <w:jc w:val="left"/>
      </w:pPr>
      <w:rPr>
        <w:rFonts w:ascii="Segoe UI" w:hAnsi="Segoe UI"/>
        <w:sz w:val="18"/>
      </w:rPr>
      <w:tblPr/>
      <w:trPr>
        <w:cantSplit w:val="0"/>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CA9" w:themeFill="accent2" w:themeFillTint="66"/>
      </w:tcPr>
    </w:tblStylePr>
  </w:style>
  <w:style w:type="paragraph" w:styleId="Quote">
    <w:name w:val="Quote"/>
    <w:basedOn w:val="Normal"/>
    <w:next w:val="Normal"/>
    <w:link w:val="QuoteChar"/>
    <w:uiPriority w:val="29"/>
    <w:qFormat/>
    <w:rsid w:val="001A0263"/>
    <w:pPr>
      <w:spacing w:line="276" w:lineRule="auto"/>
      <w:ind w:left="720"/>
    </w:pPr>
    <w:rPr>
      <w:rFonts w:eastAsiaTheme="minorHAnsi" w:cs="Segoe UI"/>
      <w:i/>
      <w:iCs/>
      <w:color w:val="000000" w:themeColor="text1"/>
      <w:szCs w:val="20"/>
    </w:rPr>
  </w:style>
  <w:style w:type="character" w:customStyle="1" w:styleId="QuoteChar">
    <w:name w:val="Quote Char"/>
    <w:basedOn w:val="DefaultParagraphFont"/>
    <w:link w:val="Quote"/>
    <w:uiPriority w:val="29"/>
    <w:rsid w:val="001A0263"/>
    <w:rPr>
      <w:rFonts w:ascii="Segoe UI" w:eastAsiaTheme="minorHAnsi" w:hAnsi="Segoe UI" w:cs="Segoe UI"/>
      <w:i/>
      <w:iCs/>
      <w:color w:val="000000" w:themeColor="text1"/>
    </w:rPr>
  </w:style>
  <w:style w:type="paragraph" w:styleId="ListParagraph">
    <w:name w:val="List Paragraph"/>
    <w:basedOn w:val="Normal"/>
    <w:uiPriority w:val="34"/>
    <w:qFormat/>
    <w:rsid w:val="00216FEE"/>
    <w:pPr>
      <w:spacing w:after="160" w:line="259" w:lineRule="auto"/>
      <w:ind w:left="720"/>
      <w:contextualSpacing/>
    </w:pPr>
    <w:rPr>
      <w:rFonts w:asciiTheme="minorHAnsi" w:eastAsiaTheme="minorHAnsi" w:hAnsiTheme="minorHAnsi" w:cstheme="minorBidi"/>
      <w:sz w:val="22"/>
      <w:szCs w:val="22"/>
    </w:rPr>
  </w:style>
  <w:style w:type="character" w:styleId="CommentReference">
    <w:name w:val="annotation reference"/>
    <w:basedOn w:val="DefaultParagraphFont"/>
    <w:uiPriority w:val="99"/>
    <w:semiHidden/>
    <w:unhideWhenUsed/>
    <w:rsid w:val="00216FEE"/>
    <w:rPr>
      <w:sz w:val="16"/>
      <w:szCs w:val="16"/>
    </w:rPr>
  </w:style>
  <w:style w:type="paragraph" w:styleId="CommentText">
    <w:name w:val="annotation text"/>
    <w:basedOn w:val="Normal"/>
    <w:link w:val="CommentTextChar"/>
    <w:uiPriority w:val="99"/>
    <w:semiHidden/>
    <w:unhideWhenUsed/>
    <w:rsid w:val="00216FEE"/>
    <w:pPr>
      <w:spacing w:after="160"/>
    </w:pPr>
    <w:rPr>
      <w:rFonts w:asciiTheme="minorHAnsi" w:eastAsiaTheme="minorHAnsi" w:hAnsiTheme="minorHAnsi" w:cstheme="minorBidi"/>
      <w:szCs w:val="20"/>
    </w:rPr>
  </w:style>
  <w:style w:type="character" w:customStyle="1" w:styleId="CommentTextChar">
    <w:name w:val="Comment Text Char"/>
    <w:basedOn w:val="DefaultParagraphFont"/>
    <w:link w:val="CommentText"/>
    <w:uiPriority w:val="99"/>
    <w:semiHidden/>
    <w:rsid w:val="00216FEE"/>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C52DBE"/>
    <w:pPr>
      <w:spacing w:after="240"/>
    </w:pPr>
    <w:rPr>
      <w:rFonts w:ascii="Segoe UI" w:eastAsia="Cambria" w:hAnsi="Segoe UI" w:cs="Times New Roman"/>
      <w:b/>
      <w:bCs/>
    </w:rPr>
  </w:style>
  <w:style w:type="character" w:customStyle="1" w:styleId="CommentSubjectChar">
    <w:name w:val="Comment Subject Char"/>
    <w:basedOn w:val="CommentTextChar"/>
    <w:link w:val="CommentSubject"/>
    <w:uiPriority w:val="99"/>
    <w:semiHidden/>
    <w:rsid w:val="00C52DBE"/>
    <w:rPr>
      <w:rFonts w:ascii="Segoe UI" w:eastAsiaTheme="minorHAnsi" w:hAnsi="Segoe U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FD3CF43A0684A92A4D29547D9964C26"/>
        <w:category>
          <w:name w:val="General"/>
          <w:gallery w:val="placeholder"/>
        </w:category>
        <w:types>
          <w:type w:val="bbPlcHdr"/>
        </w:types>
        <w:behaviors>
          <w:behavior w:val="content"/>
        </w:behaviors>
        <w:guid w:val="{89A253B7-12BE-4C16-9621-14CA0C10167D}"/>
      </w:docPartPr>
      <w:docPartBody>
        <w:p w:rsidR="00C57E03" w:rsidRDefault="002D3D7C" w:rsidP="002D3D7C">
          <w:pPr>
            <w:pStyle w:val="1FD3CF43A0684A92A4D29547D9964C269"/>
          </w:pPr>
          <w:r w:rsidRPr="00CC37A0">
            <w:rPr>
              <w:rStyle w:val="PlaceholderText"/>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91D"/>
    <w:rsid w:val="000177E3"/>
    <w:rsid w:val="000D58BC"/>
    <w:rsid w:val="0016341A"/>
    <w:rsid w:val="002D3D7C"/>
    <w:rsid w:val="00387FD3"/>
    <w:rsid w:val="00396CEF"/>
    <w:rsid w:val="003A4703"/>
    <w:rsid w:val="003B6039"/>
    <w:rsid w:val="003D0744"/>
    <w:rsid w:val="003F390A"/>
    <w:rsid w:val="00442E5A"/>
    <w:rsid w:val="004B3221"/>
    <w:rsid w:val="005705E5"/>
    <w:rsid w:val="005C01D4"/>
    <w:rsid w:val="00623201"/>
    <w:rsid w:val="00655F9D"/>
    <w:rsid w:val="00673301"/>
    <w:rsid w:val="008C218F"/>
    <w:rsid w:val="00AC7315"/>
    <w:rsid w:val="00AF5CCF"/>
    <w:rsid w:val="00C40919"/>
    <w:rsid w:val="00C57E03"/>
    <w:rsid w:val="00C76BB6"/>
    <w:rsid w:val="00CD05C5"/>
    <w:rsid w:val="00D601A2"/>
    <w:rsid w:val="00E6673C"/>
    <w:rsid w:val="00FE7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91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D3D7C"/>
    <w:rPr>
      <w:color w:val="808080"/>
    </w:rPr>
  </w:style>
  <w:style w:type="paragraph" w:customStyle="1" w:styleId="1FD3CF43A0684A92A4D29547D9964C26">
    <w:name w:val="1FD3CF43A0684A92A4D29547D9964C26"/>
    <w:rsid w:val="004B3221"/>
    <w:pPr>
      <w:spacing w:after="0" w:line="240" w:lineRule="auto"/>
      <w:jc w:val="center"/>
    </w:pPr>
    <w:rPr>
      <w:rFonts w:ascii="Century Gothic" w:eastAsiaTheme="minorHAnsi" w:hAnsi="Century Gothic" w:cs="Segoe UI"/>
      <w:sz w:val="16"/>
      <w:szCs w:val="16"/>
    </w:rPr>
  </w:style>
  <w:style w:type="paragraph" w:customStyle="1" w:styleId="1FD3CF43A0684A92A4D29547D9964C261">
    <w:name w:val="1FD3CF43A0684A92A4D29547D9964C261"/>
    <w:rsid w:val="00C57E03"/>
    <w:pPr>
      <w:spacing w:after="0" w:line="240" w:lineRule="auto"/>
      <w:jc w:val="center"/>
    </w:pPr>
    <w:rPr>
      <w:rFonts w:ascii="Century Gothic" w:eastAsiaTheme="minorHAnsi" w:hAnsi="Century Gothic" w:cs="Segoe UI"/>
      <w:sz w:val="16"/>
      <w:szCs w:val="16"/>
    </w:rPr>
  </w:style>
  <w:style w:type="paragraph" w:customStyle="1" w:styleId="1FD3CF43A0684A92A4D29547D9964C262">
    <w:name w:val="1FD3CF43A0684A92A4D29547D9964C262"/>
    <w:rsid w:val="003A4703"/>
    <w:pPr>
      <w:spacing w:after="0" w:line="240" w:lineRule="auto"/>
      <w:jc w:val="center"/>
    </w:pPr>
    <w:rPr>
      <w:rFonts w:ascii="Century Gothic" w:eastAsiaTheme="minorHAnsi" w:hAnsi="Century Gothic" w:cs="Segoe UI"/>
      <w:sz w:val="16"/>
      <w:szCs w:val="16"/>
    </w:rPr>
  </w:style>
  <w:style w:type="paragraph" w:customStyle="1" w:styleId="1FD3CF43A0684A92A4D29547D9964C263">
    <w:name w:val="1FD3CF43A0684A92A4D29547D9964C263"/>
    <w:rsid w:val="00396CEF"/>
    <w:pPr>
      <w:spacing w:after="0" w:line="240" w:lineRule="auto"/>
      <w:jc w:val="center"/>
    </w:pPr>
    <w:rPr>
      <w:rFonts w:ascii="Century Gothic" w:eastAsiaTheme="minorHAnsi" w:hAnsi="Century Gothic" w:cs="Segoe UI"/>
      <w:sz w:val="16"/>
      <w:szCs w:val="16"/>
    </w:rPr>
  </w:style>
  <w:style w:type="paragraph" w:customStyle="1" w:styleId="1FD3CF43A0684A92A4D29547D9964C264">
    <w:name w:val="1FD3CF43A0684A92A4D29547D9964C264"/>
    <w:rsid w:val="00655F9D"/>
    <w:pPr>
      <w:spacing w:after="0" w:line="240" w:lineRule="auto"/>
      <w:jc w:val="center"/>
    </w:pPr>
    <w:rPr>
      <w:rFonts w:ascii="Century Gothic" w:eastAsiaTheme="minorHAnsi" w:hAnsi="Century Gothic" w:cs="Segoe UI"/>
      <w:sz w:val="16"/>
      <w:szCs w:val="16"/>
    </w:rPr>
  </w:style>
  <w:style w:type="paragraph" w:customStyle="1" w:styleId="1FD3CF43A0684A92A4D29547D9964C265">
    <w:name w:val="1FD3CF43A0684A92A4D29547D9964C265"/>
    <w:rsid w:val="00655F9D"/>
    <w:pPr>
      <w:spacing w:after="0" w:line="240" w:lineRule="auto"/>
      <w:jc w:val="center"/>
    </w:pPr>
    <w:rPr>
      <w:rFonts w:ascii="Century Gothic" w:eastAsiaTheme="minorHAnsi" w:hAnsi="Century Gothic" w:cs="Segoe UI"/>
      <w:sz w:val="16"/>
      <w:szCs w:val="16"/>
    </w:rPr>
  </w:style>
  <w:style w:type="paragraph" w:customStyle="1" w:styleId="1FD3CF43A0684A92A4D29547D9964C266">
    <w:name w:val="1FD3CF43A0684A92A4D29547D9964C266"/>
    <w:rsid w:val="00655F9D"/>
    <w:pPr>
      <w:spacing w:after="0" w:line="240" w:lineRule="auto"/>
      <w:jc w:val="center"/>
    </w:pPr>
    <w:rPr>
      <w:rFonts w:ascii="Century Gothic" w:eastAsiaTheme="minorHAnsi" w:hAnsi="Century Gothic" w:cs="Segoe UI"/>
      <w:sz w:val="16"/>
      <w:szCs w:val="16"/>
    </w:rPr>
  </w:style>
  <w:style w:type="paragraph" w:customStyle="1" w:styleId="1FD3CF43A0684A92A4D29547D9964C267">
    <w:name w:val="1FD3CF43A0684A92A4D29547D9964C267"/>
    <w:rsid w:val="00655F9D"/>
    <w:pPr>
      <w:spacing w:after="0" w:line="240" w:lineRule="auto"/>
      <w:jc w:val="center"/>
    </w:pPr>
    <w:rPr>
      <w:rFonts w:ascii="Century Gothic" w:eastAsiaTheme="minorHAnsi" w:hAnsi="Century Gothic" w:cs="Segoe UI"/>
      <w:sz w:val="16"/>
      <w:szCs w:val="16"/>
    </w:rPr>
  </w:style>
  <w:style w:type="paragraph" w:customStyle="1" w:styleId="1FD3CF43A0684A92A4D29547D9964C268">
    <w:name w:val="1FD3CF43A0684A92A4D29547D9964C268"/>
    <w:rsid w:val="00655F9D"/>
    <w:pPr>
      <w:spacing w:after="0" w:line="240" w:lineRule="auto"/>
      <w:jc w:val="center"/>
    </w:pPr>
    <w:rPr>
      <w:rFonts w:ascii="Century Gothic" w:eastAsiaTheme="minorHAnsi" w:hAnsi="Century Gothic" w:cs="Segoe UI"/>
      <w:sz w:val="16"/>
      <w:szCs w:val="16"/>
    </w:rPr>
  </w:style>
  <w:style w:type="paragraph" w:customStyle="1" w:styleId="1FD3CF43A0684A92A4D29547D9964C269">
    <w:name w:val="1FD3CF43A0684A92A4D29547D9964C269"/>
    <w:rsid w:val="002D3D7C"/>
    <w:pPr>
      <w:spacing w:after="0" w:line="240" w:lineRule="auto"/>
      <w:jc w:val="center"/>
    </w:pPr>
    <w:rPr>
      <w:rFonts w:ascii="Century Gothic" w:eastAsiaTheme="minorHAnsi" w:hAnsi="Century Gothic" w:cs="Segoe UI"/>
      <w:sz w:val="16"/>
      <w:szCs w:val="1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Barr print palette">
      <a:dk1>
        <a:sysClr val="windowText" lastClr="000000"/>
      </a:dk1>
      <a:lt1>
        <a:sysClr val="window" lastClr="FFFFFF"/>
      </a:lt1>
      <a:dk2>
        <a:srgbClr val="D8DDAC"/>
      </a:dk2>
      <a:lt2>
        <a:srgbClr val="DCEBF5"/>
      </a:lt2>
      <a:accent1>
        <a:srgbClr val="005A96"/>
      </a:accent1>
      <a:accent2>
        <a:srgbClr val="91963C"/>
      </a:accent2>
      <a:accent3>
        <a:srgbClr val="FDDC5A"/>
      </a:accent3>
      <a:accent4>
        <a:srgbClr val="FF9105"/>
      </a:accent4>
      <a:accent5>
        <a:srgbClr val="78232D"/>
      </a:accent5>
      <a:accent6>
        <a:srgbClr val="5A2846"/>
      </a:accent6>
      <a:hlink>
        <a:srgbClr val="005C97"/>
      </a:hlink>
      <a:folHlink>
        <a:srgbClr val="91993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G_x0020_sub_x002d_group xmlns="51c77f3d-e082-41e5-97c8-e9b7f44fe1a8" xsi:nil="true"/>
    <finance_x0020_sub_x002d_group xmlns="51c77f3d-e082-41e5-97c8-e9b7f44fe1a8" xsi:nil="true"/>
    <Category xmlns="51c77f3d-e082-41e5-97c8-e9b7f44fe1a8">
      <Value>general business support</Value>
    </Category>
    <Description0 xmlns="51c77f3d-e082-41e5-97c8-e9b7f44fe1a8">also accessible from File New in Word</Description0>
    <HR_x0020_sub_x002d_group xmlns="51c77f3d-e082-41e5-97c8-e9b7f44fe1a8" xsi:nil="true"/>
    <IconOverlay xmlns="http://schemas.microsoft.com/sharepoint/v4" xsi:nil="true"/>
    <BD_x0020_sub_x002d_group xmlns="51c77f3d-e082-41e5-97c8-e9b7f44fe1a8" xsi:nil="true"/>
    <Owner xmlns="51c77f3d-e082-41e5-97c8-e9b7f44fe1a8" xsi:nil="true"/>
    <project_x0020_client_x0020_sub_x002d_group xmlns="51c77f3d-e082-41e5-97c8-e9b7f44fe1a8" xsi:nil="true"/>
    <general_x0020_business_x0020_sub_x002d_group xmlns="51c77f3d-e082-41e5-97c8-e9b7f44fe1a8">Correspondence</general_x0020_business_x0020_sub_x002d_group>
    <Status xmlns="51c77f3d-e082-41e5-97c8-e9b7f44fe1a8">Current</Statu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E9FD3BD66D5143B7C04A494277518E" ma:contentTypeVersion="11" ma:contentTypeDescription="Create a new document." ma:contentTypeScope="" ma:versionID="d6a28bf66d9e47a4191a3b17f99963c3">
  <xsd:schema xmlns:xsd="http://www.w3.org/2001/XMLSchema" xmlns:xs="http://www.w3.org/2001/XMLSchema" xmlns:p="http://schemas.microsoft.com/office/2006/metadata/properties" xmlns:ns2="51c77f3d-e082-41e5-97c8-e9b7f44fe1a8" xmlns:ns3="http://schemas.microsoft.com/sharepoint/v4" targetNamespace="http://schemas.microsoft.com/office/2006/metadata/properties" ma:root="true" ma:fieldsID="e418d0234642dd855be4aa21571d0c0a" ns2:_="" ns3:_="">
    <xsd:import namespace="51c77f3d-e082-41e5-97c8-e9b7f44fe1a8"/>
    <xsd:import namespace="http://schemas.microsoft.com/sharepoint/v4"/>
    <xsd:element name="properties">
      <xsd:complexType>
        <xsd:sequence>
          <xsd:element name="documentManagement">
            <xsd:complexType>
              <xsd:all>
                <xsd:element ref="ns2:Description0" minOccurs="0"/>
                <xsd:element ref="ns2:Owner" minOccurs="0"/>
                <xsd:element ref="ns2:Status" minOccurs="0"/>
                <xsd:element ref="ns2:Category" minOccurs="0"/>
                <xsd:element ref="ns2:finance_x0020_sub_x002d_group" minOccurs="0"/>
                <xsd:element ref="ns2:HR_x0020_sub_x002d_group" minOccurs="0"/>
                <xsd:element ref="ns2:BD_x0020_sub_x002d_group" minOccurs="0"/>
                <xsd:element ref="ns2:general_x0020_business_x0020_sub_x002d_group" minOccurs="0"/>
                <xsd:element ref="ns2:PG_x0020_sub_x002d_group" minOccurs="0"/>
                <xsd:element ref="ns2:project_x0020_client_x0020_sub_x002d_group"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c77f3d-e082-41e5-97c8-e9b7f44fe1a8" elementFormDefault="qualified">
    <xsd:import namespace="http://schemas.microsoft.com/office/2006/documentManagement/types"/>
    <xsd:import namespace="http://schemas.microsoft.com/office/infopath/2007/PartnerControls"/>
    <xsd:element name="Description0" ma:index="8" nillable="true" ma:displayName="Description" ma:internalName="Description0">
      <xsd:simpleType>
        <xsd:restriction base="dms:Text">
          <xsd:maxLength value="255"/>
        </xsd:restriction>
      </xsd:simpleType>
    </xsd:element>
    <xsd:element name="Owner" ma:index="9" nillable="true" ma:displayName="Owner" ma:internalName="Owner">
      <xsd:simpleType>
        <xsd:restriction base="dms:Text">
          <xsd:maxLength value="255"/>
        </xsd:restriction>
      </xsd:simpleType>
    </xsd:element>
    <xsd:element name="Status" ma:index="10" nillable="true" ma:displayName="Status" ma:format="Dropdown" ma:internalName="Status">
      <xsd:simpleType>
        <xsd:restriction base="dms:Choice">
          <xsd:enumeration value="Current"/>
          <xsd:enumeration value="Archived"/>
        </xsd:restriction>
      </xsd:simpleType>
    </xsd:element>
    <xsd:element name="Category" ma:index="11" nillable="true" ma:displayName="Category" ma:internalName="Category">
      <xsd:complexType>
        <xsd:complexContent>
          <xsd:extension base="dms:MultiChoice">
            <xsd:sequence>
              <xsd:element name="Value" maxOccurs="unbounded" minOccurs="0" nillable="true">
                <xsd:simpleType>
                  <xsd:restriction base="dms:Choice">
                    <xsd:enumeration value="finance and accounting"/>
                    <xsd:enumeration value="HR employee resources"/>
                    <xsd:enumeration value="business development"/>
                    <xsd:enumeration value="general business support"/>
                    <xsd:enumeration value="practice group support"/>
                    <xsd:enumeration value="project and client support"/>
                  </xsd:restriction>
                </xsd:simpleType>
              </xsd:element>
            </xsd:sequence>
          </xsd:extension>
        </xsd:complexContent>
      </xsd:complexType>
    </xsd:element>
    <xsd:element name="finance_x0020_sub_x002d_group" ma:index="12" nillable="true" ma:displayName="finance sub-group" ma:description="To be used only with the finance category for sub-grouping" ma:internalName="finance_x0020_sub_x002d_group">
      <xsd:simpleType>
        <xsd:restriction base="dms:Text">
          <xsd:maxLength value="255"/>
        </xsd:restriction>
      </xsd:simpleType>
    </xsd:element>
    <xsd:element name="HR_x0020_sub_x002d_group" ma:index="13" nillable="true" ma:displayName="HR sub-group" ma:description="To be used only with the HR category for sub-grouping" ma:internalName="HR_x0020_sub_x002d_group">
      <xsd:simpleType>
        <xsd:restriction base="dms:Text">
          <xsd:maxLength value="255"/>
        </xsd:restriction>
      </xsd:simpleType>
    </xsd:element>
    <xsd:element name="BD_x0020_sub_x002d_group" ma:index="14" nillable="true" ma:displayName="BD sub-group" ma:description="To be used only with the BD category for sub-grouping" ma:internalName="BD_x0020_sub_x002d_group">
      <xsd:simpleType>
        <xsd:restriction base="dms:Text">
          <xsd:maxLength value="255"/>
        </xsd:restriction>
      </xsd:simpleType>
    </xsd:element>
    <xsd:element name="general_x0020_business_x0020_sub_x002d_group" ma:index="15" nillable="true" ma:displayName="general business sub-group" ma:description="To be used only with the general business category for sub-grouping" ma:internalName="general_x0020_business_x0020_sub_x002d_group">
      <xsd:simpleType>
        <xsd:restriction base="dms:Text">
          <xsd:maxLength value="255"/>
        </xsd:restriction>
      </xsd:simpleType>
    </xsd:element>
    <xsd:element name="PG_x0020_sub_x002d_group" ma:index="16" nillable="true" ma:displayName="PG sub-group" ma:description="To be used only with the PG support category for sub-grouping" ma:internalName="PG_x0020_sub_x002d_group">
      <xsd:simpleType>
        <xsd:restriction base="dms:Text">
          <xsd:maxLength value="255"/>
        </xsd:restriction>
      </xsd:simpleType>
    </xsd:element>
    <xsd:element name="project_x0020_client_x0020_sub_x002d_group" ma:index="17" nillable="true" ma:displayName="project client sub-group" ma:description="To be used only with the project/client category for sub-grouping" ma:internalName="project_x0020_client_x0020_sub_x002d_group">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FC0734E1-88EB-4F50-8FA0-109A25AA819C}">
  <ds:schemaRefs>
    <ds:schemaRef ds:uri="http://schemas.microsoft.com/office/2006/documentManagement/types"/>
    <ds:schemaRef ds:uri="http://schemas.openxmlformats.org/package/2006/metadata/core-properties"/>
    <ds:schemaRef ds:uri="51c77f3d-e082-41e5-97c8-e9b7f44fe1a8"/>
    <ds:schemaRef ds:uri="http://purl.org/dc/dcmitype/"/>
    <ds:schemaRef ds:uri="http://schemas.microsoft.com/office/infopath/2007/PartnerControls"/>
    <ds:schemaRef ds:uri="http://purl.org/dc/elements/1.1/"/>
    <ds:schemaRef ds:uri="http://schemas.microsoft.com/office/2006/metadata/properties"/>
    <ds:schemaRef ds:uri="http://schemas.microsoft.com/sharepoint/v4"/>
    <ds:schemaRef ds:uri="http://www.w3.org/XML/1998/namespace"/>
    <ds:schemaRef ds:uri="http://purl.org/dc/terms/"/>
  </ds:schemaRefs>
</ds:datastoreItem>
</file>

<file path=customXml/itemProps2.xml><?xml version="1.0" encoding="utf-8"?>
<ds:datastoreItem xmlns:ds="http://schemas.openxmlformats.org/officeDocument/2006/customXml" ds:itemID="{0F189A31-A720-4A33-80BC-9EB345D57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c77f3d-e082-41e5-97c8-e9b7f44fe1a8"/>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E205ED-EE0D-4C28-925F-CBDDD73D4574}">
  <ds:schemaRefs>
    <ds:schemaRef ds:uri="http://schemas.microsoft.com/sharepoint/v3/contenttype/forms"/>
  </ds:schemaRefs>
</ds:datastoreItem>
</file>

<file path=customXml/itemProps4.xml><?xml version="1.0" encoding="utf-8"?>
<ds:datastoreItem xmlns:ds="http://schemas.openxmlformats.org/officeDocument/2006/customXml" ds:itemID="{8360C4F0-CE77-441C-A740-F7EBF9A6C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6</Pages>
  <Words>2882</Words>
  <Characters>16434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Barr Engineering Co.</Company>
  <LinksUpToDate>false</LinksUpToDate>
  <CharactersWithSpaces>19278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Barr Engineering Co.</dc:creator>
  <cp:lastModifiedBy>Jim S. Aiken</cp:lastModifiedBy>
  <cp:revision>11</cp:revision>
  <cp:lastPrinted>2020-01-06T19:43:00Z</cp:lastPrinted>
  <dcterms:created xsi:type="dcterms:W3CDTF">2020-01-06T18:18:00Z</dcterms:created>
  <dcterms:modified xsi:type="dcterms:W3CDTF">2020-01-23T00:56:00Z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0x010100E7E9FD3BD66D5143B7C04A494277518E</vt:lpwstr>
  </property>
</Properties>
</file>